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before="40" w:after="40"/>
        <w:jc w:val="center"/>
      </w:pPr>
      <w:r>
        <w:rPr>
          <w:rFonts w:ascii="Arial" w:hAnsi="Arial"/>
          <w:b/>
          <w:color w:val="17365D"/>
          <w:sz w:val="23"/>
        </w:rPr>
        <w:t>İNTERNET SİTESİ ZİYARETÇİLERİNE YÖNELİK</w:t>
      </w:r>
    </w:p>
    <w:p>
      <w:pPr>
        <w:spacing w:after="120"/>
        <w:jc w:val="center"/>
      </w:pPr>
      <w:r>
        <w:rPr>
          <w:rFonts w:ascii="Arial" w:hAnsi="Arial"/>
          <w:b/>
          <w:color w:val="17365D"/>
          <w:sz w:val="31"/>
        </w:rPr>
        <w:t>ÇEREZLER ARACILIĞIYLA KİŞİSEL VERİLERİN İŞLENMESİ HAKKINDA AYDINLATMA METNİ</w:t>
      </w:r>
    </w:p>
    <w:p>
      <w:pPr>
        <w:pStyle w:val="Balk1"/>
        <w:keepNext/>
      </w:pPr>
      <w:r>
        <w:rPr>
          <w:rFonts w:ascii="Arial" w:hAnsi="Arial"/>
          <w:b/>
          <w:color w:val="17365D"/>
        </w:rPr>
        <w:t>1. Veri Sorumlusu ve Aydınlatma Metninin Kapsamı</w:t>
      </w:r>
    </w:p>
    <w:p>
      <w:pPr>
        <w:widowControl/>
        <w:spacing w:before="0" w:after="120" w:line="264" w:lineRule="auto"/>
        <w:jc w:val="both"/>
      </w:pPr>
      <w:r>
        <w:rPr>
          <w:rFonts w:ascii="Arial" w:hAnsi="Arial"/>
          <w:color w:val="404040"/>
        </w:rPr>
        <w:t xml:space="preserve">Bu aydınlatma metni, veri sorumlusu sıfatıyla </w:t>
      </w:r>
      <w:r>
        <w:rPr>
          <w:rFonts w:ascii="Arial" w:hAnsi="Arial"/>
          <w:b/>
          <w:color w:val="404040"/>
        </w:rPr>
        <w:t>Mustafa TOPALOĞLU</w:t>
      </w:r>
      <w:r>
        <w:rPr>
          <w:rFonts w:ascii="Arial" w:hAnsi="Arial"/>
          <w:color w:val="404040"/>
        </w:rPr>
        <w:t xml:space="preserve"> (“Topaloğlu Avukatlık Bürosu” veya “Büro”) tarafından; 6698 sayılı Kişisel Verilerin Korunması Kanunu (“KVKK”) m. 10, Aydınlatma Yükümlülüğünün Yerine Getirilmesinde Uyulacak Usul ve Esaslar Hakkında Tebliğ ve Kişisel Verileri Koruma Kurumunun Çerez Uygulamaları Hakkında Rehberi dikkate alınarak hazırlanmıştır.</w:t>
      </w:r>
    </w:p>
    <w:p>
      <w:pPr>
        <w:widowControl/>
        <w:spacing w:before="0" w:after="120" w:line="264" w:lineRule="auto"/>
        <w:jc w:val="both"/>
      </w:pPr>
      <w:r>
        <w:rPr>
          <w:rFonts w:ascii="Arial" w:hAnsi="Arial"/>
          <w:color w:val="404040"/>
        </w:rPr>
        <w:t xml:space="preserve">Metin; </w:t>
      </w:r>
      <w:r>
        <w:rPr>
          <w:rFonts w:ascii="Arial" w:hAnsi="Arial"/>
          <w:b/>
          <w:color w:val="404040"/>
        </w:rPr>
        <w:t>mtopaloglu.av.tr</w:t>
      </w:r>
      <w:r>
        <w:rPr>
          <w:rFonts w:ascii="Arial" w:hAnsi="Arial"/>
          <w:color w:val="404040"/>
        </w:rPr>
        <w:t xml:space="preserve"> alan adlı internet sitesini, bu alan adına bağlı alt alan adlarını ve bunların masaüstü veya mobil görünümlerini ziyaret eden kişileri kapsar. Çerezler veya benzer çevrim içi teknolojiler yoluyla kişisel veri işlendiği ölçüde; site ziyaretçileri, iletişim veya kariyer formlarını kullanan kişiler ve sitedeki gömülü içeriklerle etkileşime giren kullanıcılar bu metnin kapsamındadır.</w:t>
      </w:r>
    </w:p>
    <w:p>
      <w:pPr>
        <w:keepNext w:val="0"/>
        <w:widowControl/>
        <w:spacing w:before="0" w:after="120" w:line="264" w:lineRule="auto"/>
        <w:jc w:val="both"/>
      </w:pPr>
      <w:r>
        <w:rPr>
          <w:rFonts w:ascii="Arial" w:hAnsi="Arial"/>
          <w:color w:val="404040"/>
        </w:rPr>
        <w:t>Bu metnin amacı; cihazınıza yerleştirilen veya cihazınızdan okunan çerezler aracılığıyla hangi kişisel verilerin, hangi amaç ve hukuki sebeplerle işlendiği, kimlere aktarılabileceği, ne kadar süreyle saklandığı ve çerez tercihlerinizi nasıl yönetebileceğiniz hakkında açık ve anlaşılır biçimde bilgi vermektir.</w:t>
      </w:r>
    </w:p>
    <w:tbl>
      <w:tblPr>
        <w:tblW w:type="auto" w:w="0"/>
        <w:jc w:val="center"/>
        <w:tblLayout w:type="fixed"/>
        <w:tblLook w:firstColumn="1" w:firstRow="1" w:lastColumn="0" w:lastRow="0" w:noHBand="0" w:noVBand="1" w:val="04A0"/>
      </w:tblPr>
      <w:tblGrid>
        <w:gridCol w:w="9808"/>
      </w:tblGrid>
      <w:tr>
        <w:tc>
          <w:tcPr>
            <w:tcW w:type="dxa" w:w="9808"/>
            <w:shd w:val="clear" w:color="auto" w:fill="F3F6FA"/>
            <w:tcBorders>
              <w:top w:val="single" w:sz="6" w:space="0" w:color="2F5597"/>
              <w:left w:val="single" w:sz="6" w:space="0" w:color="2F5597"/>
              <w:bottom w:val="single" w:sz="6" w:space="0" w:color="2F5597"/>
              <w:right w:val="single" w:sz="6" w:space="0" w:color="2F5597"/>
            </w:tcBorders>
            <w:tcMar>
              <w:top w:w="120" w:type="dxa"/>
              <w:start w:w="100" w:type="dxa"/>
              <w:bottom w:w="120" w:type="dxa"/>
              <w:end w:w="100" w:type="dxa"/>
            </w:tcMar>
          </w:tcPr>
          <w:p>
            <w:pPr>
              <w:spacing w:after="40"/>
            </w:pPr>
            <w:r/>
            <w:r>
              <w:rPr>
                <w:rFonts w:ascii="Arial" w:hAnsi="Arial"/>
                <w:b/>
                <w:color w:val="17365D"/>
                <w:sz w:val="19"/>
              </w:rPr>
              <w:t>Yayın öncesi teknik doğrulama</w:t>
            </w:r>
          </w:p>
          <w:p>
            <w:pPr>
              <w:spacing w:after="40" w:line="252" w:lineRule="auto"/>
              <w:jc w:val="both"/>
            </w:pPr>
            <w:r>
              <w:rPr>
                <w:rFonts w:ascii="Arial" w:hAnsi="Arial"/>
                <w:color w:val="404040"/>
                <w:sz w:val="18"/>
              </w:rPr>
              <w:t>İnternet sitesinde kullanılan çerezler, etiketler ve üçüncü taraf servisler zaman içinde değişebilir. Bu nedenle metin yayımlanmadan önce site üzerinde teknik çerez taraması yapılmalı; aşağıdaki çerez envanterinde her çerezin gerçek adı, sağlayıcısı, amacı, tarafı ve kullanım süresi doğrulanmalıdır.</w:t>
            </w:r>
          </w:p>
          <w:p>
            <w:pPr>
              <w:spacing w:after="40" w:line="252" w:lineRule="auto"/>
              <w:jc w:val="both"/>
            </w:pPr>
            <w:r>
              <w:rPr>
                <w:rFonts w:ascii="Arial" w:hAnsi="Arial"/>
                <w:color w:val="404040"/>
                <w:sz w:val="18"/>
              </w:rPr>
              <w:t>Fiilen kullanılmayan “kullanılıyorsa/kullanılması hâlinde” ibareli satırlar yayımlanan metinden çıkarılmalı; yeni bir çerez veya sağlayıcı devreye alındığında metin ve çerez yönetim paneli eş zamanlı olarak güncellenmelidir.</w:t>
            </w:r>
          </w:p>
          <w:p>
            <w:pPr>
              <w:spacing w:after="40" w:line="252" w:lineRule="auto"/>
              <w:jc w:val="both"/>
            </w:pPr>
            <w:r>
              <w:rPr>
                <w:rFonts w:ascii="Arial" w:hAnsi="Arial"/>
                <w:color w:val="404040"/>
                <w:sz w:val="18"/>
              </w:rPr>
              <w:t>Zorunlu olmayan çerezler, ilgili kişinin önceden ve aktif bir işlemle verdiği geçerli açık rıza bulunmadıkça çalıştırılmamalıdır. “Hepsini Kabul Et”, “Hepsini Reddet” ve “Tercihleri Yönet” seçenekleri kullanıcıya eşit ve kolay erişilebilir biçimde sunulmalıdır.</w:t>
            </w:r>
          </w:p>
        </w:tc>
      </w:tr>
    </w:tbl>
    <w:p>
      <w:pPr>
        <w:spacing w:after="0" w:before="0"/>
      </w:pPr>
    </w:p>
    <w:p>
      <w:pPr>
        <w:pStyle w:val="Balk1"/>
        <w:keepNext/>
      </w:pPr>
      <w:r>
        <w:rPr>
          <w:rFonts w:ascii="Arial" w:hAnsi="Arial"/>
          <w:b/>
          <w:color w:val="17365D"/>
        </w:rPr>
        <w:t>2. Çerezler ve Çerez Türleri</w:t>
      </w:r>
    </w:p>
    <w:p>
      <w:pPr>
        <w:keepNext w:val="0"/>
        <w:widowControl/>
        <w:spacing w:before="0" w:after="120" w:line="264" w:lineRule="auto"/>
        <w:jc w:val="both"/>
      </w:pPr>
      <w:r>
        <w:rPr>
          <w:rFonts w:ascii="Arial" w:hAnsi="Arial"/>
          <w:color w:val="404040"/>
        </w:rPr>
        <w:t>Çerezler, bir internet sitesi ziyaret edildiğinde tarayıcı veya cihaz üzerinde saklanan ve sonraki ziyaretlerde siteye geri iletilebilen küçük metin dosyalarıdır. Çerezler; kullanım süresine, yerleştiren tarafa ve kullanım amacına göre aşağıdaki şekilde sınıflandırılabilir:</w:t>
      </w:r>
    </w:p>
    <w:tbl>
      <w:tblPr>
        <w:tblW w:type="auto" w:w="0"/>
        <w:jc w:val="center"/>
        <w:tblLayout w:type="fixed"/>
        <w:tblLook w:firstColumn="1" w:firstRow="1" w:lastColumn="0" w:lastRow="0" w:noHBand="0" w:noVBand="1" w:val="04A0"/>
      </w:tblPr>
      <w:tblGrid>
        <w:gridCol w:w="3269"/>
        <w:gridCol w:w="3269"/>
        <w:gridCol w:w="3269"/>
      </w:tblGrid>
      <w:tr>
        <w:trPr>
          <w:trHeight w:hRule="atLeast"/>
          <w:tblHeader w:val="true"/>
          <w:cantSplit/>
        </w:trPr>
        <w:tc>
          <w:tcPr>
            <w:tcW w:type="dxa" w:w="2100"/>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7"/>
              </w:rPr>
              <w:t>Sınıflandırma</w:t>
            </w:r>
          </w:p>
        </w:tc>
        <w:tc>
          <w:tcPr>
            <w:tcW w:type="dxa" w:w="2400"/>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7"/>
              </w:rPr>
              <w:t>Çerez türü</w:t>
            </w:r>
          </w:p>
        </w:tc>
        <w:tc>
          <w:tcPr>
            <w:tcW w:type="dxa" w:w="5308"/>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7"/>
              </w:rPr>
              <w:t>Açıklama</w:t>
            </w:r>
          </w:p>
        </w:tc>
      </w:tr>
      <w:tr>
        <w:trPr>
          <w:cantSplit/>
        </w:trPr>
        <w:tc>
          <w:tcPr>
            <w:tcW w:type="dxa" w:w="21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Kullanım süresine göre</w:t>
            </w:r>
          </w:p>
        </w:tc>
        <w:tc>
          <w:tcPr>
            <w:tcW w:type="dxa" w:w="24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Oturum çerezleri</w:t>
            </w:r>
          </w:p>
        </w:tc>
        <w:tc>
          <w:tcPr>
            <w:tcW w:type="dxa" w:w="53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Oturumun sürekliliğini sağlamak amacıyla geçici olarak kullanılır ve kural olarak tarayıcı kapatıldığında silinir.</w:t>
            </w:r>
          </w:p>
        </w:tc>
      </w:tr>
      <w:tr>
        <w:trPr>
          <w:cantSplit/>
        </w:trPr>
        <w:tc>
          <w:tcPr>
            <w:tcW w:type="dxa" w:w="21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Kullanım süresine göre</w:t>
            </w:r>
          </w:p>
        </w:tc>
        <w:tc>
          <w:tcPr>
            <w:tcW w:type="dxa" w:w="24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Kalıcı çerezler</w:t>
            </w:r>
          </w:p>
        </w:tc>
        <w:tc>
          <w:tcPr>
            <w:tcW w:type="dxa" w:w="530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Tarayıcı kapatıldığında silinmez; belirlenen sona erme tarihinde veya kullanım süresi sonunda kendiliğinden silinir.</w:t>
            </w:r>
          </w:p>
        </w:tc>
      </w:tr>
      <w:tr>
        <w:trPr>
          <w:cantSplit/>
        </w:trPr>
        <w:tc>
          <w:tcPr>
            <w:tcW w:type="dxa" w:w="21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Yerleştiren tarafa göre</w:t>
            </w:r>
          </w:p>
        </w:tc>
        <w:tc>
          <w:tcPr>
            <w:tcW w:type="dxa" w:w="24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Birinci taraf çerezler</w:t>
            </w:r>
          </w:p>
        </w:tc>
        <w:tc>
          <w:tcPr>
            <w:tcW w:type="dxa" w:w="53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Doğrudan ziyaret edilen internet sitesi veya bu sitenin kontrolündeki altyapı tarafından yerleştirilir.</w:t>
            </w:r>
          </w:p>
        </w:tc>
      </w:tr>
      <w:tr>
        <w:trPr>
          <w:cantSplit/>
        </w:trPr>
        <w:tc>
          <w:tcPr>
            <w:tcW w:type="dxa" w:w="21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Yerleştiren tarafa göre</w:t>
            </w:r>
          </w:p>
        </w:tc>
        <w:tc>
          <w:tcPr>
            <w:tcW w:type="dxa" w:w="24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Üçüncü taraf çerezler</w:t>
            </w:r>
          </w:p>
        </w:tc>
        <w:tc>
          <w:tcPr>
            <w:tcW w:type="dxa" w:w="530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Ziyaret edilen alan adından farklı bir hizmet sağlayıcı tarafından; örneğin harita, analitik, video veya güvenlik hizmeti sunulması sırasında yerleştirilebilir.</w:t>
            </w:r>
          </w:p>
        </w:tc>
      </w:tr>
      <w:tr>
        <w:trPr>
          <w:cantSplit/>
        </w:trPr>
        <w:tc>
          <w:tcPr>
            <w:tcW w:type="dxa" w:w="21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Kullanım amacına göre</w:t>
            </w:r>
          </w:p>
        </w:tc>
        <w:tc>
          <w:tcPr>
            <w:tcW w:type="dxa" w:w="24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Zorunlu çerezler</w:t>
            </w:r>
          </w:p>
        </w:tc>
        <w:tc>
          <w:tcPr>
            <w:tcW w:type="dxa" w:w="53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İnternet sitesinin güvenli ve düzgün çalışması, oturumun sürdürülmesi, form güvenliği veya çerez tercihlerinin hatırlanması gibi açıkça talep edilen hizmetler için kesinlikle gerekli olan çerezlerdir. Pazarlama amacıyla kullanılamaz.</w:t>
            </w:r>
          </w:p>
        </w:tc>
      </w:tr>
      <w:tr>
        <w:trPr>
          <w:cantSplit/>
        </w:trPr>
        <w:tc>
          <w:tcPr>
            <w:tcW w:type="dxa" w:w="21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Kullanım amacına göre</w:t>
            </w:r>
          </w:p>
        </w:tc>
        <w:tc>
          <w:tcPr>
            <w:tcW w:type="dxa" w:w="24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İşlevsel çerezler</w:t>
            </w:r>
          </w:p>
        </w:tc>
        <w:tc>
          <w:tcPr>
            <w:tcW w:type="dxa" w:w="530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Dil, görünüm veya içerik tercihleri gibi zorunlu olmayan ek işlevlerin ve kişiselleştirmenin sağlanması amacıyla kullanılır. Kural olarak açık rıza gerektirir.</w:t>
            </w:r>
          </w:p>
        </w:tc>
      </w:tr>
      <w:tr>
        <w:trPr>
          <w:cantSplit/>
        </w:trPr>
        <w:tc>
          <w:tcPr>
            <w:tcW w:type="dxa" w:w="21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Kullanım amacına göre</w:t>
            </w:r>
          </w:p>
        </w:tc>
        <w:tc>
          <w:tcPr>
            <w:tcW w:type="dxa" w:w="24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Performans ve analitik çerezleri</w:t>
            </w:r>
          </w:p>
        </w:tc>
        <w:tc>
          <w:tcPr>
            <w:tcW w:type="dxa" w:w="53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Ziyaretçi sayısı, trafik kaynağı, sayfa kullanımı ve teknik performans gibi bilgilerin ölçülmesi ve sitenin geliştirilmesi amacıyla kullanılır. Kural olarak açık rıza ile etkinleştirilir.</w:t>
            </w:r>
          </w:p>
        </w:tc>
      </w:tr>
      <w:tr>
        <w:trPr>
          <w:cantSplit/>
        </w:trPr>
        <w:tc>
          <w:tcPr>
            <w:tcW w:type="dxa" w:w="21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Kullanım amacına göre</w:t>
            </w:r>
          </w:p>
        </w:tc>
        <w:tc>
          <w:tcPr>
            <w:tcW w:type="dxa" w:w="24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Reklam ve pazarlama çerezleri</w:t>
            </w:r>
          </w:p>
        </w:tc>
        <w:tc>
          <w:tcPr>
            <w:tcW w:type="dxa" w:w="530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Çevrim içi davranışların izlenmesi, ilgi alanlarının belirlenmesi, profilleme ve kişiselleştirilmiş reklam gösterimi amacıyla kullanılır. Yalnızca ayrı ve belirli açık rıza üzerine etkinleştirilebilir.</w:t>
            </w:r>
          </w:p>
        </w:tc>
      </w:tr>
    </w:tbl>
    <w:p>
      <w:pPr>
        <w:spacing w:after="0" w:before="0"/>
      </w:pPr>
    </w:p>
    <w:p>
      <w:pPr>
        <w:pStyle w:val="Balk1"/>
        <w:keepNext/>
      </w:pPr>
      <w:r>
        <w:rPr>
          <w:rFonts w:ascii="Arial" w:hAnsi="Arial"/>
          <w:b/>
          <w:color w:val="17365D"/>
        </w:rPr>
        <w:t>3. İşlenen Kişisel Veri Kategorileri</w:t>
      </w:r>
    </w:p>
    <w:p>
      <w:pPr>
        <w:keepNext w:val="0"/>
        <w:widowControl/>
        <w:spacing w:before="0" w:after="120" w:line="264" w:lineRule="auto"/>
        <w:jc w:val="both"/>
      </w:pPr>
      <w:r>
        <w:rPr>
          <w:rFonts w:ascii="Arial" w:hAnsi="Arial"/>
          <w:color w:val="404040"/>
        </w:rPr>
        <w:t>Kullanılan çerezin niteliğine, ziyaretçinin tercihine ve sitede etkinleştirilen hizmetlere göre aşağıdaki kişisel veri kategorileri işlenebilir:</w:t>
      </w:r>
    </w:p>
    <w:tbl>
      <w:tblPr>
        <w:tblW w:type="auto" w:w="0"/>
        <w:jc w:val="center"/>
        <w:tblLayout w:type="fixed"/>
        <w:tblLook w:firstColumn="1" w:firstRow="1" w:lastColumn="0" w:lastRow="0" w:noHBand="0" w:noVBand="1" w:val="04A0"/>
      </w:tblPr>
      <w:tblGrid>
        <w:gridCol w:w="3269"/>
        <w:gridCol w:w="3269"/>
        <w:gridCol w:w="3269"/>
      </w:tblGrid>
      <w:tr>
        <w:trPr>
          <w:trHeight w:hRule="atLeast"/>
          <w:tblHeader w:val="true"/>
          <w:cantSplit/>
        </w:trPr>
        <w:tc>
          <w:tcPr>
            <w:tcW w:type="dxa" w:w="2450"/>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7"/>
              </w:rPr>
              <w:t>Veri kategorisi</w:t>
            </w:r>
          </w:p>
        </w:tc>
        <w:tc>
          <w:tcPr>
            <w:tcW w:type="dxa" w:w="3900"/>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7"/>
              </w:rPr>
              <w:t>İşlenebilecek veri örnekleri</w:t>
            </w:r>
          </w:p>
        </w:tc>
        <w:tc>
          <w:tcPr>
            <w:tcW w:type="dxa" w:w="3458"/>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7"/>
              </w:rPr>
              <w:t>Sınır ve açıklamalar</w:t>
            </w:r>
          </w:p>
        </w:tc>
      </w:tr>
      <w:tr>
        <w:trPr>
          <w:cantSplit/>
        </w:trPr>
        <w:tc>
          <w:tcPr>
            <w:tcW w:type="dxa" w:w="245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İşlem güvenliği ve bağlantı kayıtları</w:t>
            </w:r>
          </w:p>
        </w:tc>
        <w:tc>
          <w:tcPr>
            <w:tcW w:type="dxa" w:w="39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IP adresi, erişim tarihi ve saati, bağlantı ve hata kayıtları, oturum numarası, güvenlik ve doğrulama kayıtları.</w:t>
            </w:r>
          </w:p>
        </w:tc>
        <w:tc>
          <w:tcPr>
            <w:tcW w:type="dxa" w:w="345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Sitenin güvenliği, kötüye kullanımın önlenmesi ve teknik sorunların giderilmesi için gerekli kapsamla sınırlı olarak işlenir.</w:t>
            </w:r>
          </w:p>
        </w:tc>
      </w:tr>
      <w:tr>
        <w:trPr>
          <w:cantSplit/>
        </w:trPr>
        <w:tc>
          <w:tcPr>
            <w:tcW w:type="dxa" w:w="245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Cihaz ve yazılım bilgileri</w:t>
            </w:r>
          </w:p>
        </w:tc>
        <w:tc>
          <w:tcPr>
            <w:tcW w:type="dxa" w:w="39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Tarayıcı türü ve sürümü, işletim sistemi, cihaz türü, dil ayarı, ekran çözünürlüğü, kullanıcı aracısı bilgisi.</w:t>
            </w:r>
          </w:p>
        </w:tc>
        <w:tc>
          <w:tcPr>
            <w:tcW w:type="dxa" w:w="345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Cihazın doğrudan kimliğini ortaya çıkaran gereksiz veriler toplanmamalı; mümkün olduğunda toplulaştırma veya kısaltma uygulanmalıdır.</w:t>
            </w:r>
          </w:p>
        </w:tc>
      </w:tr>
      <w:tr>
        <w:trPr>
          <w:cantSplit/>
        </w:trPr>
        <w:tc>
          <w:tcPr>
            <w:tcW w:type="dxa" w:w="245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Site kullanım ve gezinme bilgileri</w:t>
            </w:r>
          </w:p>
        </w:tc>
        <w:tc>
          <w:tcPr>
            <w:tcW w:type="dxa" w:w="39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Ziyaret edilen sayfalar, tıklanan bağlantılar, sayfada kalma süresi, giriş ve çıkış sayfaları, yönlendiren kaynak, site içi arama ve gezinme hareketleri.</w:t>
            </w:r>
          </w:p>
        </w:tc>
        <w:tc>
          <w:tcPr>
            <w:tcW w:type="dxa" w:w="345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Analitik veya iyileştirme amaçlı kullanım, kural olarak açık rıza sonrasında gerçekleştirilir.</w:t>
            </w:r>
          </w:p>
        </w:tc>
      </w:tr>
      <w:tr>
        <w:trPr>
          <w:cantSplit/>
        </w:trPr>
        <w:tc>
          <w:tcPr>
            <w:tcW w:type="dxa" w:w="245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Tercih ve yapılandırma bilgileri</w:t>
            </w:r>
          </w:p>
        </w:tc>
        <w:tc>
          <w:tcPr>
            <w:tcW w:type="dxa" w:w="39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Dil, görünüm, erişilebilirlik ve içerik tercihleri ile çerez kabul, ret ve kategori tercihleri.</w:t>
            </w:r>
          </w:p>
        </w:tc>
        <w:tc>
          <w:tcPr>
            <w:tcW w:type="dxa" w:w="345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Gizlilik ve çerez tercihlerinin hatırlanması için gerekli kayıtlar zorunlu çerez kapsamında tutulabilir.</w:t>
            </w:r>
          </w:p>
        </w:tc>
      </w:tr>
      <w:tr>
        <w:trPr>
          <w:cantSplit/>
        </w:trPr>
        <w:tc>
          <w:tcPr>
            <w:tcW w:type="dxa" w:w="245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Çevrim içi tanımlayıcılar ve ölçüm verileri</w:t>
            </w:r>
          </w:p>
        </w:tc>
        <w:tc>
          <w:tcPr>
            <w:tcW w:type="dxa" w:w="39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Çerez kimliği, ölçüm kimliği, cihaz veya oturumla ilişkilendirilen takma ad niteliğindeki çevrim içi tanımlayıcılar, kampanya ve trafik kaynağı bilgileri.</w:t>
            </w:r>
          </w:p>
        </w:tc>
        <w:tc>
          <w:tcPr>
            <w:tcW w:type="dxa" w:w="345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Çapraz site takibi veya kullanıcı profili oluşturulması açık rıza olmaksızın yapılmaz.</w:t>
            </w:r>
          </w:p>
        </w:tc>
      </w:tr>
      <w:tr>
        <w:trPr>
          <w:cantSplit/>
        </w:trPr>
        <w:tc>
          <w:tcPr>
            <w:tcW w:type="dxa" w:w="245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Yaklaşık konum ve üçüncü taraf etkileşimleri</w:t>
            </w:r>
          </w:p>
        </w:tc>
        <w:tc>
          <w:tcPr>
            <w:tcW w:type="dxa" w:w="39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IP adresinden türetilen ülke/şehir düzeyindeki yaklaşık konum, harita, video, sosyal medya veya benzeri gömülü içeriklerle etkileşim bilgisi.</w:t>
            </w:r>
          </w:p>
        </w:tc>
        <w:tc>
          <w:tcPr>
            <w:tcW w:type="dxa" w:w="345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Kesin konum verisi çerezler yoluyla işlenmesi amaçlanmamaktadır. Üçüncü taraf içerikler kural olarak açık rıza sonrasında yüklenir.</w:t>
            </w:r>
          </w:p>
        </w:tc>
      </w:tr>
      <w:tr>
        <w:trPr>
          <w:cantSplit/>
        </w:trPr>
        <w:tc>
          <w:tcPr>
            <w:tcW w:type="dxa" w:w="245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Profil ve çıkarım bilgileri</w:t>
            </w:r>
          </w:p>
        </w:tc>
        <w:tc>
          <w:tcPr>
            <w:tcW w:type="dxa" w:w="39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Ziyaret ve etkileşimlerden türetilen ilgi alanı, tercih veya segment bilgileri.</w:t>
            </w:r>
          </w:p>
        </w:tc>
        <w:tc>
          <w:tcPr>
            <w:tcW w:type="dxa" w:w="345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Yalnızca reklam/pazarlama çerezlerinin fiilen kullanılması ve bu amaç için ayrı açık rıza verilmesi hâlinde işlenebilir.</w:t>
            </w:r>
          </w:p>
        </w:tc>
      </w:tr>
      <w:tr>
        <w:trPr>
          <w:cantSplit/>
        </w:trPr>
        <w:tc>
          <w:tcPr>
            <w:tcW w:type="dxa" w:w="245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color w:val="404040"/>
                <w:sz w:val="16"/>
              </w:rPr>
              <w:t>Özel nitelikli kişisel veriler</w:t>
            </w:r>
          </w:p>
        </w:tc>
        <w:tc>
          <w:tcPr>
            <w:tcW w:type="dxa" w:w="39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KVKK m. 6 kapsamındaki sağlık, biyometrik, ceza mahkûmiyeti ve benzeri özel nitelikli veriler.</w:t>
            </w:r>
          </w:p>
        </w:tc>
        <w:tc>
          <w:tcPr>
            <w:tcW w:type="dxa" w:w="345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Çerezler aracılığıyla özel nitelikli kişisel veri işlenmesi amaçlanmamaktadır. Ziyaretçilerin formlara gereksiz özel nitelikli veri yazmaması beklenir.</w:t>
            </w:r>
          </w:p>
        </w:tc>
      </w:tr>
    </w:tbl>
    <w:p>
      <w:pPr>
        <w:spacing w:after="0" w:before="0"/>
      </w:pPr>
    </w:p>
    <w:p>
      <w:pPr>
        <w:pStyle w:val="Balk1"/>
        <w:keepNext/>
      </w:pPr>
      <w:r>
        <w:rPr>
          <w:rFonts w:ascii="Arial" w:hAnsi="Arial"/>
          <w:b/>
          <w:color w:val="17365D"/>
        </w:rPr>
        <w:t>4. İşleme Amaçları ve Hukuki Sebepler</w:t>
      </w:r>
    </w:p>
    <w:p>
      <w:pPr>
        <w:keepNext w:val="0"/>
        <w:widowControl/>
        <w:spacing w:before="0" w:after="120" w:line="264" w:lineRule="auto"/>
        <w:jc w:val="both"/>
      </w:pPr>
      <w:r>
        <w:rPr>
          <w:rFonts w:ascii="Arial" w:hAnsi="Arial"/>
          <w:color w:val="404040"/>
        </w:rPr>
        <w:t>Kişisel veriler; KVKK m. 4’te yer alan hukuka ve dürüstlük kurallarına uygunluk, doğru ve gerektiğinde güncel olma, belirli/açık/meşru amaçlarla işleme, amaçla bağlantılı-sınırlı-ölçülü olma ve gerekli süre kadar muhafaza etme ilkeleri gözetilerek işlenir. Her çerez için amaç ve hukuki sebep ayrıca değerlendirilir.</w:t>
      </w:r>
    </w:p>
    <w:tbl>
      <w:tblPr>
        <w:tblW w:type="auto" w:w="0"/>
        <w:jc w:val="center"/>
        <w:tblLayout w:type="fixed"/>
        <w:tblLook w:firstColumn="1" w:firstRow="1" w:lastColumn="0" w:lastRow="0" w:noHBand="0" w:noVBand="1" w:val="04A0"/>
      </w:tblPr>
      <w:tblGrid>
        <w:gridCol w:w="4904"/>
        <w:gridCol w:w="4904"/>
      </w:tblGrid>
      <w:tr>
        <w:trPr>
          <w:trHeight w:hRule="atLeast"/>
          <w:tblHeader w:val="true"/>
          <w:cantSplit/>
        </w:trPr>
        <w:tc>
          <w:tcPr>
            <w:tcW w:type="dxa" w:w="4904"/>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7"/>
              </w:rPr>
              <w:t>İşleme amacı</w:t>
            </w:r>
          </w:p>
        </w:tc>
        <w:tc>
          <w:tcPr>
            <w:tcW w:type="dxa" w:w="4904"/>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7"/>
              </w:rPr>
              <w:t>Başlıca hukuki sebep</w:t>
            </w:r>
          </w:p>
        </w:tc>
      </w:tr>
      <w:tr>
        <w:trPr>
          <w:cantSplit/>
        </w:trPr>
        <w:tc>
          <w:tcPr>
            <w:tcW w:type="dxa" w:w="4904"/>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İnternet sitesinin temel işlevlerinin yerine getirilmesi; sayfaların güvenli biçimde sunulması; oturumun sürdürülmesi; yük dengelemesi; çerez tercihlerinin kaydedilmesi ve hatırlanması.</w:t>
            </w:r>
          </w:p>
        </w:tc>
        <w:tc>
          <w:tcPr>
            <w:tcW w:type="dxa" w:w="4904"/>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Somut işlevin niteliğine göre Büro’nun meşru menfaati (KVKK m. 5/2-f), bir hakkın tesisi, kullanılması veya korunması için zorunluluk (m. 5/2-e) ve gerektiğinde hukuki yükümlülüğün yerine getirilmesi (m. 5/2-ç). Bu dayanaklar yalnızca kesinlikle gerekli çerezlerle sınırlıdır.</w:t>
            </w:r>
          </w:p>
        </w:tc>
      </w:tr>
      <w:tr>
        <w:trPr>
          <w:cantSplit/>
        </w:trPr>
        <w:tc>
          <w:tcPr>
            <w:tcW w:type="dxa" w:w="4904"/>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Ziyaretçinin açıkça talep ettiği işlevlerin sağlanması; iletişim veya kariyer formunun güvenli biçimde çalıştırılması ve talebin teknik olarak iletilmesi.</w:t>
            </w:r>
          </w:p>
        </w:tc>
        <w:tc>
          <w:tcPr>
            <w:tcW w:type="dxa" w:w="4904"/>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Somut olaya göre sözleşmenin kurulması veya ifasıyla doğrudan ilgili olması (m. 5/2-c), meşru menfaat (m. 5/2-f) ve bir hakkın tesisi/kullanılması/korunması (m. 5/2-e). Talep edilen işlev için kesinlikle gerekli olmayan ek çerezler bu kapsama dâhil edilmez.</w:t>
            </w:r>
          </w:p>
        </w:tc>
      </w:tr>
      <w:tr>
        <w:trPr>
          <w:cantSplit/>
        </w:trPr>
        <w:tc>
          <w:tcPr>
            <w:tcW w:type="dxa" w:w="4904"/>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Bilgi ve sistem güvenliğinin sağlanması; kötüye kullanım, otomatik saldırı ve dolandırıcılığın önlenmesi; hata ve olay yönetiminin yürütülmesi.</w:t>
            </w:r>
          </w:p>
        </w:tc>
        <w:tc>
          <w:tcPr>
            <w:tcW w:type="dxa" w:w="4904"/>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Büro’nun meşru menfaati (m. 5/2-f), bir hakkın tesisi/kullanılması/korunması (m. 5/2-e) ve uygulanabilir hukuki yükümlülükler (m. 5/2-ç). Ölçülülük ve denge testi gözetilir.</w:t>
            </w:r>
          </w:p>
        </w:tc>
      </w:tr>
      <w:tr>
        <w:trPr>
          <w:cantSplit/>
        </w:trPr>
        <w:tc>
          <w:tcPr>
            <w:tcW w:type="dxa" w:w="4904"/>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Ziyaretçi sayısının ve site kullanımının ölçülmesi; performansın değerlendirilmesi; içerik, tasarım ve kullanıcı deneyiminin geliştirilmesi.</w:t>
            </w:r>
          </w:p>
        </w:tc>
        <w:tc>
          <w:tcPr>
            <w:tcW w:type="dxa" w:w="4904"/>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Kural olarak ilgili kişinin açık rızası (m. 5/1). Yalnızca birinci taraf, kısa süreli, toplulaştırılmış, çapraz site takibi yapmayan ve kullanıcı üzerinde düşük risk doğuran analitik uygulamalar bakımından, somut ve belgeli değerlendirme sonucunda meşru menfaat (m. 5/2-f) gündeme gelebilir.</w:t>
            </w:r>
          </w:p>
        </w:tc>
      </w:tr>
      <w:tr>
        <w:trPr>
          <w:cantSplit/>
        </w:trPr>
        <w:tc>
          <w:tcPr>
            <w:tcW w:type="dxa" w:w="4904"/>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Zorunlu olmayan işlevsellik ve kişiselleştirme; gömülü harita, video veya benzeri üçüncü taraf içeriğinin yüklenmesi.</w:t>
            </w:r>
          </w:p>
        </w:tc>
        <w:tc>
          <w:tcPr>
            <w:tcW w:type="dxa" w:w="4904"/>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Kural olarak ilgili kişinin ayrı, belirli ve özgür iradeye dayalı açık rızası (m. 5/1). Kullanıcının açıkça talep ettiği ve hizmet için kesinlikle gerekli olan dar kapsamlı işlevler somut olay özelinde ayrıca değerlendirilir.</w:t>
            </w:r>
          </w:p>
        </w:tc>
      </w:tr>
      <w:tr>
        <w:trPr>
          <w:cantSplit/>
        </w:trPr>
        <w:tc>
          <w:tcPr>
            <w:tcW w:type="dxa" w:w="4904"/>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Çevrim içi davranışların izlenmesi, profilleme, ilgi alanına dayalı reklam ve pazarlama faaliyetleri.</w:t>
            </w:r>
          </w:p>
        </w:tc>
        <w:tc>
          <w:tcPr>
            <w:tcW w:type="dxa" w:w="4904"/>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Yalnızca ilgili kişinin belirli amaç ve çerez kategorisi bakımından verdiği açık rıza (m. 5/1). Ret veya rızanın geri alınması, zorunlu hizmetlere erişimin ön koşulu hâline getirilemez.</w:t>
            </w:r>
          </w:p>
        </w:tc>
      </w:tr>
      <w:tr>
        <w:trPr>
          <w:cantSplit/>
        </w:trPr>
        <w:tc>
          <w:tcPr>
            <w:tcW w:type="dxa" w:w="4904"/>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Kanuni yükümlülüklerin yerine getirilmesi; yetkili kamu kurumları ve adli/idari mercilerin usulüne uygun taleplerinin karşılanması; uyuşmazlık ve taleplerin yönetilmesi.</w:t>
            </w:r>
          </w:p>
        </w:tc>
        <w:tc>
          <w:tcPr>
            <w:tcW w:type="dxa" w:w="4904"/>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Kanunlarda açıkça öngörülme (m. 5/2-a), hukuki yükümlülüğün yerine getirilmesi (m. 5/2-ç) ve bir hakkın tesisi/kullanılması/korunması (m. 5/2-e).</w:t>
            </w:r>
          </w:p>
        </w:tc>
      </w:tr>
    </w:tbl>
    <w:p>
      <w:pPr>
        <w:spacing w:after="0" w:before="0"/>
      </w:pPr>
    </w:p>
    <w:p>
      <w:pPr>
        <w:pStyle w:val="Balk1"/>
        <w:keepNext/>
      </w:pPr>
      <w:r>
        <w:rPr>
          <w:rFonts w:ascii="Arial" w:hAnsi="Arial"/>
          <w:b/>
          <w:color w:val="17365D"/>
        </w:rPr>
        <w:t>5. Kişisel Verilerin Toplanma Yöntemleri</w:t>
      </w:r>
    </w:p>
    <w:p>
      <w:pPr>
        <w:keepNext w:val="0"/>
        <w:widowControl/>
        <w:spacing w:before="0" w:after="120" w:line="264" w:lineRule="auto"/>
        <w:jc w:val="both"/>
      </w:pPr>
      <w:r>
        <w:rPr>
          <w:rFonts w:ascii="Arial" w:hAnsi="Arial"/>
          <w:color w:val="404040"/>
        </w:rPr>
        <w:t>Kişisel veriler; internet sitesine erişim sırasında tarayıcı ve cihaz tarafından gönderilen teknik bilgiler, birinci veya üçüncü taraf çerezler, çerez yönetim paneli, sunucu ve güvenlik kayıtları ile kişisel veri işleyen benzer çevrim içi teknolojiler üzerinden tamamen veya kısmen otomatik yollarla toplanabilir. Çerezler aracılığıyla elde edilen veriler, ziyaretçinin cihazından, tarayıcısından veya kullanılan hizmet sağlayıcının altyapısından kaynaklanabilir.</w:t>
      </w:r>
    </w:p>
    <w:p>
      <w:pPr>
        <w:keepNext w:val="0"/>
        <w:widowControl/>
        <w:spacing w:before="0" w:after="120" w:line="264" w:lineRule="auto"/>
        <w:jc w:val="both"/>
      </w:pPr>
      <w:r>
        <w:rPr>
          <w:rFonts w:ascii="Arial" w:hAnsi="Arial"/>
          <w:color w:val="404040"/>
        </w:rPr>
        <w:t>Çerez dışındaki iletişim ve kariyer formlarında doğrudan paylaşılan kişisel veriler, ilgili form veya ziyaretçi aydınlatma metni çerçevesinde ayrıca işlenir. Bu çerez aydınlatma metni, farklı bir veri işleme sürecine ilişkin aydınlatmanın yerine geçmez.</w:t>
      </w:r>
    </w:p>
    <w:p>
      <w:pPr>
        <w:pStyle w:val="Balk1"/>
        <w:keepNext/>
      </w:pPr>
      <w:r>
        <w:rPr>
          <w:rFonts w:ascii="Arial" w:hAnsi="Arial"/>
          <w:b/>
          <w:color w:val="17365D"/>
        </w:rPr>
        <w:t>6. Kişisel Verilerin Aktarılabileceği Alıcı Grupları</w:t>
      </w:r>
    </w:p>
    <w:p>
      <w:pPr>
        <w:keepNext w:val="0"/>
        <w:widowControl/>
        <w:spacing w:before="0" w:after="120" w:line="264" w:lineRule="auto"/>
        <w:jc w:val="both"/>
      </w:pPr>
      <w:r>
        <w:rPr>
          <w:rFonts w:ascii="Arial" w:hAnsi="Arial"/>
          <w:color w:val="404040"/>
        </w:rPr>
        <w:t>Kişisel veriler, yalnızca ilgili işleme amacıyla bağlantılı ve gerekli ölçüde olmak üzere aşağıdaki alıcı gruplarına aktarılabilir:</w:t>
      </w:r>
    </w:p>
    <w:tbl>
      <w:tblPr>
        <w:tblW w:type="auto" w:w="0"/>
        <w:jc w:val="center"/>
        <w:tblLayout w:type="fixed"/>
        <w:tblLook w:firstColumn="1" w:firstRow="1" w:lastColumn="0" w:lastRow="0" w:noHBand="0" w:noVBand="1" w:val="04A0"/>
      </w:tblPr>
      <w:tblGrid>
        <w:gridCol w:w="4904"/>
        <w:gridCol w:w="4904"/>
      </w:tblGrid>
      <w:tr>
        <w:trPr>
          <w:trHeight w:hRule="atLeast"/>
          <w:tblHeader w:val="true"/>
          <w:cantSplit/>
        </w:trPr>
        <w:tc>
          <w:tcPr>
            <w:tcW w:type="dxa" w:w="3900"/>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7"/>
              </w:rPr>
              <w:t>Alıcı grubu</w:t>
            </w:r>
          </w:p>
        </w:tc>
        <w:tc>
          <w:tcPr>
            <w:tcW w:type="dxa" w:w="5908"/>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7"/>
              </w:rPr>
              <w:t>Aktarım amacı</w:t>
            </w:r>
          </w:p>
        </w:tc>
      </w:tr>
      <w:tr>
        <w:trPr>
          <w:cantSplit/>
        </w:trPr>
        <w:tc>
          <w:tcPr>
            <w:tcW w:type="dxa" w:w="39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Büro içindeki yetkili kişiler</w:t>
            </w:r>
          </w:p>
        </w:tc>
        <w:tc>
          <w:tcPr>
            <w:tcW w:type="dxa" w:w="59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Bilgi güvenliği, internet sitesi yönetimi, taleplerin değerlendirilmesi ve hukuki uyum süreçlerinin sınırlı erişimle yürütülmesi.</w:t>
            </w:r>
          </w:p>
        </w:tc>
      </w:tr>
      <w:tr>
        <w:trPr>
          <w:cantSplit/>
        </w:trPr>
        <w:tc>
          <w:tcPr>
            <w:tcW w:type="dxa" w:w="39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Barındırma, yazılım, bakım ve siber güvenlik hizmeti sağlayıcıları</w:t>
            </w:r>
          </w:p>
        </w:tc>
        <w:tc>
          <w:tcPr>
            <w:tcW w:type="dxa" w:w="590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İnternet sitesinin barındırılması, güvenli ve kesintisiz çalıştırılması, yedekleme, hata giderme, saldırı ve kötüye kullanımın önlenmesi.</w:t>
            </w:r>
          </w:p>
        </w:tc>
      </w:tr>
      <w:tr>
        <w:trPr>
          <w:cantSplit/>
        </w:trPr>
        <w:tc>
          <w:tcPr>
            <w:tcW w:type="dxa" w:w="39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Çerez ve rıza yönetimi hizmeti sağlayıcıları</w:t>
            </w:r>
          </w:p>
        </w:tc>
        <w:tc>
          <w:tcPr>
            <w:tcW w:type="dxa" w:w="59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Ziyaretçi tercihlerinin kaydedilmesi, rıza/ret kayıtlarının yönetilmesi ve tercihlerin sonraki ziyaretlerde uygulanması.</w:t>
            </w:r>
          </w:p>
        </w:tc>
      </w:tr>
      <w:tr>
        <w:trPr>
          <w:cantSplit/>
        </w:trPr>
        <w:tc>
          <w:tcPr>
            <w:tcW w:type="dxa" w:w="39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Analitik, harita, video, doğrulama ve gömülü içerik sağlayıcıları</w:t>
            </w:r>
          </w:p>
        </w:tc>
        <w:tc>
          <w:tcPr>
            <w:tcW w:type="dxa" w:w="590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Yalnızca ilgili hizmetin sitede fiilen kullanılması ve gerekli hukuki şartların sağlanması hâlinde analitik ölçüm, harita gösterimi, içerik sunumu veya form güvenliği işlevlerinin sağlanması.</w:t>
            </w:r>
          </w:p>
        </w:tc>
      </w:tr>
      <w:tr>
        <w:trPr>
          <w:cantSplit/>
        </w:trPr>
        <w:tc>
          <w:tcPr>
            <w:tcW w:type="dxa" w:w="39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Dış hukuk, bilgi güvenliği, denetim ve teknik danışmanlar</w:t>
            </w:r>
          </w:p>
        </w:tc>
        <w:tc>
          <w:tcPr>
            <w:tcW w:type="dxa" w:w="59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Bir uyuşmazlık, güvenlik olayı, denetim veya mevzuata uyum sürecinin gerektirdiği ölçüde hukuki ve teknik destek alınması.</w:t>
            </w:r>
          </w:p>
        </w:tc>
      </w:tr>
      <w:tr>
        <w:trPr>
          <w:cantSplit/>
        </w:trPr>
        <w:tc>
          <w:tcPr>
            <w:tcW w:type="dxa" w:w="39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Yetkili kamu kurumları ile adli ve idari merciler</w:t>
            </w:r>
          </w:p>
        </w:tc>
        <w:tc>
          <w:tcPr>
            <w:tcW w:type="dxa" w:w="590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6"/>
              </w:rPr>
              <w:t>Kanuni bildirim ve bilgi verme yükümlülüklerinin yerine getirilmesi, resmî taleplerin karşılanması ve hakların tesisi, kullanılması veya korunması.</w:t>
            </w:r>
          </w:p>
        </w:tc>
      </w:tr>
    </w:tbl>
    <w:p>
      <w:pPr>
        <w:spacing w:after="0" w:before="0"/>
      </w:pPr>
    </w:p>
    <w:p>
      <w:pPr>
        <w:pStyle w:val="Balk2"/>
        <w:keepNext/>
      </w:pPr>
      <w:r>
        <w:rPr>
          <w:rFonts w:ascii="Arial" w:hAnsi="Arial"/>
          <w:b/>
          <w:color w:val="17365D"/>
        </w:rPr>
        <w:t>6.1. Yurt Dışına Aktarım</w:t>
      </w:r>
    </w:p>
    <w:p>
      <w:pPr>
        <w:keepNext w:val="0"/>
        <w:widowControl/>
        <w:spacing w:before="0" w:after="120" w:line="264" w:lineRule="auto"/>
        <w:jc w:val="both"/>
      </w:pPr>
      <w:r>
        <w:rPr>
          <w:rFonts w:ascii="Arial" w:hAnsi="Arial"/>
          <w:color w:val="404040"/>
        </w:rPr>
        <w:t>Büro tarafından sunucusu, destek ekibi veya hizmet altyapısı yurt dışında bulunan analitik, harita, video, güvenlik, çerez yönetimi ya da benzeri bir hizmetin kullanılması hâlinde, çerezler aracılığıyla elde edilen kişisel veriler yurt dışına aktarılabilir veya yurt dışından erişilebilir hâle gelebilir.</w:t>
      </w:r>
    </w:p>
    <w:p>
      <w:pPr>
        <w:keepNext w:val="0"/>
        <w:widowControl/>
        <w:spacing w:before="0" w:after="120" w:line="264" w:lineRule="auto"/>
        <w:jc w:val="both"/>
      </w:pPr>
      <w:r>
        <w:rPr>
          <w:rFonts w:ascii="Arial" w:hAnsi="Arial"/>
          <w:color w:val="404040"/>
        </w:rPr>
        <w:t>Yurt dışına aktarım, KVKK m. 9 ve Kişisel Verilerin Yurt Dışına Aktarılmasına İlişkin Usul ve Esaslar Hakkında Yönetmelik uyarınca; yeterlilik kararının bulunması, uygun güvencelerden birinin sağlanması (örneğin Kurul tarafından ilan edilen standart sözleşmenin imzalanması ve gerekli bildirimin yapılması) veya yalnızca arızi aktarım hâllerinde Kanun’da sayılan istisnalardan birinin gerçekleşmesi çerçevesinde yürütülür.</w:t>
      </w:r>
    </w:p>
    <w:p>
      <w:pPr>
        <w:keepNext w:val="0"/>
        <w:widowControl/>
        <w:spacing w:before="0" w:after="120" w:line="264" w:lineRule="auto"/>
        <w:jc w:val="both"/>
      </w:pPr>
      <w:r>
        <w:rPr>
          <w:rFonts w:ascii="Arial" w:hAnsi="Arial"/>
          <w:color w:val="404040"/>
        </w:rPr>
        <w:t>Zorunlu olmayan ve yurt dışına aktarım doğuran üçüncü taraf çerezler, hem ilgili çerez kategorisi için geçerli açık rıza hem de düzenli yurt dışı aktarım bakımından uygun bir KVKK m. 9 mekanizması bulunmadıkça etkinleştirilmez. Çerez kullanımına verilen açık rıza, tek başına düzenli ve sürekli yurt dışı aktarımın hukuki dayanağı olarak kabul edilmez.</w:t>
      </w:r>
    </w:p>
    <w:p>
      <w:pPr>
        <w:pStyle w:val="Balk1"/>
        <w:keepNext/>
      </w:pPr>
      <w:r>
        <w:rPr>
          <w:rFonts w:ascii="Arial" w:hAnsi="Arial"/>
          <w:b/>
          <w:color w:val="17365D"/>
        </w:rPr>
        <w:t>7. Çerez Tercihlerinin Yönetilmesi ve Açık Rıza</w:t>
      </w:r>
    </w:p>
    <w:p>
      <w:pPr>
        <w:keepNext w:val="0"/>
        <w:widowControl/>
        <w:spacing w:before="0" w:after="120" w:line="264" w:lineRule="auto"/>
        <w:jc w:val="both"/>
      </w:pPr>
      <w:r>
        <w:rPr>
          <w:rFonts w:ascii="Arial" w:hAnsi="Arial"/>
          <w:color w:val="404040"/>
        </w:rPr>
        <w:t>İnternet sitesine ilk girişte zorunlu çerezler dışında kalan çerezler varsayılan olarak kapalı tutulur. Ziyaretçiye, kişisel veri işlenmeye başlamadan önce çerez kategorileri ve amaçları hakkında katmanlı bilgilendirme yapılır.</w:t>
      </w:r>
    </w:p>
    <w:p>
      <w:pPr>
        <w:keepNext w:val="0"/>
        <w:widowControl/>
        <w:spacing w:before="0" w:after="120" w:line="264" w:lineRule="auto"/>
        <w:jc w:val="both"/>
      </w:pPr>
      <w:r>
        <w:rPr>
          <w:rFonts w:ascii="Arial" w:hAnsi="Arial"/>
          <w:color w:val="404040"/>
        </w:rPr>
        <w:t>Çerez bandında “Hepsini Kabul Et”, “Hepsini Reddet” ve “Tercihleri Yönet” seçenekleri eşit görünürlük ve erişilebilirlikte sunulur. Önceden işaretlenmiş kutular, yalnızca siteyi kullanmaya devam etmeyi rıza sayan yöntemler veya reddetmeyi kabulden daha güç hâle getiren tasarımlar kullanılmaz. Zorunlu olmayan her kategori için ayrı tercih verilebilmesi sağlanır.</w:t>
      </w:r>
    </w:p>
    <w:p>
      <w:pPr>
        <w:widowControl/>
        <w:spacing w:before="0" w:after="120" w:line="264" w:lineRule="auto"/>
        <w:jc w:val="both"/>
      </w:pPr>
      <w:r>
        <w:rPr>
          <w:rFonts w:ascii="Arial" w:hAnsi="Arial"/>
          <w:color w:val="404040"/>
        </w:rPr>
        <w:t>Ziyaretçiler, internet sitesinde yer alan “Çerez Tercihleri” veya eşdeğer bağlantı üzerinden tercihlerini her zaman değiştirebilir ve açık rızalarını geri alabilir. Rızanın geri alınması, geri alma anından önce rızaya dayanılarak gerçekleştirilen işlemenin hukuka uygunluğunu etkilemez. Tercihlerin değiştirilmesi, rıza vermek kadar kolay olmalıdır. Ayrıca tarayıcı ayarları üzerinden çerezler silinebilir veya engellenebilir; ancak zorunlu çerezlerin engellenmesi hâlinde sitenin bazı işlevleri gerektiği gibi çalışmayabilir.</w:t>
      </w:r>
    </w:p>
    <w:p>
      <w:pPr>
        <w:pStyle w:val="Balk1"/>
        <w:keepNext/>
      </w:pPr>
      <w:r>
        <w:rPr>
          <w:rFonts w:ascii="Arial" w:hAnsi="Arial"/>
          <w:b/>
          <w:color w:val="17365D"/>
        </w:rPr>
        <w:t>8. Saklama Süresi ve İmha</w:t>
      </w:r>
    </w:p>
    <w:p>
      <w:pPr>
        <w:keepNext w:val="0"/>
        <w:widowControl/>
        <w:spacing w:before="0" w:after="120" w:line="264" w:lineRule="auto"/>
        <w:jc w:val="both"/>
      </w:pPr>
      <w:r>
        <w:rPr>
          <w:rFonts w:ascii="Arial" w:hAnsi="Arial"/>
          <w:color w:val="404040"/>
        </w:rPr>
        <w:t>Her çerez, aşağıdaki çerez envanterinde belirtilen veya ilgili teknik yapılandırmada doğrulanan süre boyunca saklanır. Saklama süreleri, çerezin amacı için gerekli olan süreyi aşmayacak şekilde belirlenir; aynı amaca daha kısa süreli veya daha az müdahaleci bir yöntemle ulaşılabiliyorsa uzun süreli çerez kullanılmaz.</w:t>
      </w:r>
    </w:p>
    <w:p>
      <w:pPr>
        <w:keepNext w:val="0"/>
        <w:widowControl/>
        <w:spacing w:before="0" w:after="120" w:line="264" w:lineRule="auto"/>
        <w:jc w:val="both"/>
      </w:pPr>
      <w:r>
        <w:rPr>
          <w:rFonts w:ascii="Arial" w:hAnsi="Arial"/>
          <w:color w:val="404040"/>
        </w:rPr>
        <w:t>Oturum çerezleri kural olarak tarayıcı kapatıldığında; kalıcı çerezler ise belirlenen sona erme tarihinde silinir. Açık rıza, ret ve tercih kayıtları; ziyaretçi tercihlerini uygulamak, ispat yükümlülüğünü yerine getirmek ve hakların tesisi, kullanılması veya korunması için gerekli süreyle sınırlı olarak tutulabilir.</w:t>
      </w:r>
    </w:p>
    <w:p>
      <w:pPr>
        <w:keepNext w:val="0"/>
        <w:widowControl/>
        <w:spacing w:before="0" w:after="120" w:line="264" w:lineRule="auto"/>
        <w:jc w:val="both"/>
      </w:pPr>
      <w:r>
        <w:rPr>
          <w:rFonts w:ascii="Arial" w:hAnsi="Arial"/>
          <w:color w:val="404040"/>
        </w:rPr>
        <w:t>İşleme sebebinin ortadan kalkması veya saklama süresinin sona ermesi hâlinde kişisel veriler, ilgili mevzuata ve Büro’nun saklama ve imha düzenlemelerine uygun şekilde silinir, yok edilir veya anonim hâle getirilir. Kanunlarda daha uzun bir saklama süresi öngörülmüşse ilgili yasal süre uygulanır.</w:t>
      </w:r>
    </w:p>
    <w:p>
      <w:pPr>
        <w:pStyle w:val="Balk1"/>
        <w:keepNext/>
      </w:pPr>
      <w:r>
        <w:rPr>
          <w:rFonts w:ascii="Arial" w:hAnsi="Arial"/>
          <w:b/>
          <w:color w:val="17365D"/>
        </w:rPr>
        <w:t>9. Güncel Çerez Envanteri</w:t>
      </w:r>
    </w:p>
    <w:p>
      <w:pPr>
        <w:keepNext w:val="0"/>
        <w:widowControl/>
        <w:spacing w:before="0" w:after="120" w:line="264" w:lineRule="auto"/>
        <w:jc w:val="both"/>
      </w:pPr>
      <w:r>
        <w:rPr>
          <w:rFonts w:ascii="Arial" w:hAnsi="Arial"/>
          <w:color w:val="404040"/>
        </w:rPr>
        <w:t>Aşağıdaki envanter, internet sitesinin yayımdaki teknik yapılandırmasına göre kesinleştirilmelidir. Fiilen kullanılmayan satırlar çıkarılmalı; teknik ad, sağlayıcı, süre veya amaç değişiklikleri metne gecikmeksizin yansıtılmalıdır.</w:t>
      </w:r>
    </w:p>
    <w:tbl>
      <w:tblPr>
        <w:tblW w:type="auto" w:w="0"/>
        <w:jc w:val="center"/>
        <w:tblLayout w:type="fixed"/>
        <w:tblLook w:firstColumn="1" w:firstRow="1" w:lastColumn="0" w:lastRow="0" w:noHBand="0" w:noVBand="1" w:val="04A0"/>
      </w:tblPr>
      <w:tblGrid>
        <w:gridCol w:w="2452"/>
        <w:gridCol w:w="2452"/>
        <w:gridCol w:w="2452"/>
        <w:gridCol w:w="2452"/>
      </w:tblGrid>
      <w:tr>
        <w:trPr>
          <w:trHeight w:hRule="atLeast"/>
          <w:tblHeader w:val="true"/>
          <w:cantSplit/>
        </w:trPr>
        <w:tc>
          <w:tcPr>
            <w:tcW w:type="dxa" w:w="2300"/>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5"/>
              </w:rPr>
              <w:t>Çerez / teknoloji ve sağlayıcı</w:t>
            </w:r>
          </w:p>
        </w:tc>
        <w:tc>
          <w:tcPr>
            <w:tcW w:type="dxa" w:w="3800"/>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5"/>
              </w:rPr>
              <w:t>Amaç ve işlenebilecek veri</w:t>
            </w:r>
          </w:p>
        </w:tc>
        <w:tc>
          <w:tcPr>
            <w:tcW w:type="dxa" w:w="1700"/>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5"/>
              </w:rPr>
              <w:t>Taraf / kategori</w:t>
            </w:r>
          </w:p>
        </w:tc>
        <w:tc>
          <w:tcPr>
            <w:tcW w:type="dxa" w:w="2008"/>
            <w:shd w:val="clear" w:color="auto" w:fill="17365D"/>
            <w:tcBorders>
              <w:top w:val="single" w:sz="4" w:space="0" w:color="FFFFFF"/>
              <w:left w:val="single" w:sz="4" w:space="0" w:color="FFFFFF"/>
              <w:bottom w:val="single" w:sz="4" w:space="0" w:color="FFFFFF"/>
              <w:right w:val="single" w:sz="4" w:space="0" w:color="FFFFFF"/>
            </w:tcBorders>
            <w:vAlign w:val="center"/>
            <w:tcMar>
              <w:top w:w="80" w:type="dxa"/>
              <w:start w:w="90" w:type="dxa"/>
              <w:bottom w:w="80" w:type="dxa"/>
              <w:end w:w="90" w:type="dxa"/>
            </w:tcMar>
          </w:tcPr>
          <w:p>
            <w:pPr>
              <w:widowControl/>
              <w:spacing w:before="0" w:after="0" w:line="240" w:lineRule="auto"/>
              <w:jc w:val="left"/>
            </w:pPr>
            <w:r/>
            <w:r>
              <w:rPr>
                <w:rFonts w:ascii="Arial" w:hAnsi="Arial"/>
                <w:b/>
                <w:color w:val="FFFFFF"/>
                <w:sz w:val="15"/>
              </w:rPr>
              <w:t>Süre ve etkinleşme</w:t>
            </w:r>
          </w:p>
        </w:tc>
      </w:tr>
      <w:tr>
        <w:trPr>
          <w:cantSplit/>
        </w:trPr>
        <w:tc>
          <w:tcPr>
            <w:tcW w:type="dxa" w:w="23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Çerez tercih kaydı (teknik ad site yapılandırmasında doğrulanacaktır) – Topaloğlu Avukatlık Bürosu veya rıza yönetim sağlayıcısı</w:t>
            </w:r>
          </w:p>
        </w:tc>
        <w:tc>
          <w:tcPr>
            <w:tcW w:type="dxa" w:w="38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Kabul, ret ve kategori tercihlerini kaydetmek; tercihlerin sonraki ziyaretlerde uygulanmasını sağlamak. Çerez tercihi ve takma ad niteliğindeki tercih kimliği işlenebilir.</w:t>
            </w:r>
          </w:p>
        </w:tc>
        <w:tc>
          <w:tcPr>
            <w:tcW w:type="dxa" w:w="17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Birinci taraf / Zorunlu</w:t>
            </w:r>
          </w:p>
        </w:tc>
        <w:tc>
          <w:tcPr>
            <w:tcW w:type="dxa" w:w="20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En fazla 12 ay veya tercih değiştirilene kadar; sayfaya girişte etkin olabilir.</w:t>
            </w:r>
          </w:p>
        </w:tc>
      </w:tr>
      <w:tr>
        <w:trPr>
          <w:cantSplit/>
        </w:trPr>
        <w:tc>
          <w:tcPr>
            <w:tcW w:type="dxa" w:w="23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Oturum ve güvenlik çerezi (teknik ad doğrulanacaktır) – Site/barındırma altyapısı</w:t>
            </w:r>
          </w:p>
        </w:tc>
        <w:tc>
          <w:tcPr>
            <w:tcW w:type="dxa" w:w="38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Oturumun sürdürülmesi, sayfaların güvenli sunulması, trafik ve hata yönetimi. Oturum kimliği, IP ve teknik bağlantı kayıtları işlenebilir.</w:t>
            </w:r>
          </w:p>
        </w:tc>
        <w:tc>
          <w:tcPr>
            <w:tcW w:type="dxa" w:w="17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Birinci taraf / Zorunlu</w:t>
            </w:r>
          </w:p>
        </w:tc>
        <w:tc>
          <w:tcPr>
            <w:tcW w:type="dxa" w:w="200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Oturum süresince; sayfaya girişte etkin olabilir.</w:t>
            </w:r>
          </w:p>
        </w:tc>
      </w:tr>
      <w:tr>
        <w:trPr>
          <w:cantSplit/>
        </w:trPr>
        <w:tc>
          <w:tcPr>
            <w:tcW w:type="dxa" w:w="23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Form güvenliği, CSRF veya otomatik saldırı önleme çerezi (kullanılıyorsa; teknik ad ve sağlayıcı doğrulanacaktır)</w:t>
            </w:r>
          </w:p>
        </w:tc>
        <w:tc>
          <w:tcPr>
            <w:tcW w:type="dxa" w:w="38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İletişim veya kariyer formlarının kötüye kullanımını önlemek, talebin gerçek bir kullanıcıdan geldiğini doğrulamak. IP, cihaz ve güvenlik sinyalleri işlenebilir.</w:t>
            </w:r>
          </w:p>
        </w:tc>
        <w:tc>
          <w:tcPr>
            <w:tcW w:type="dxa" w:w="17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Birinci veya üçüncü taraf / Zorunlu ya da işlevsel</w:t>
            </w:r>
          </w:p>
        </w:tc>
        <w:tc>
          <w:tcPr>
            <w:tcW w:type="dxa" w:w="20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Oturum süresi veya sağlayıcı tarafından belirlenen sınırlı süre; zorunluluk ve yurt dışı aktarım koşulları ayrıca değerlendirilmelidir.</w:t>
            </w:r>
          </w:p>
        </w:tc>
      </w:tr>
      <w:tr>
        <w:trPr>
          <w:cantSplit/>
        </w:trPr>
        <w:tc>
          <w:tcPr>
            <w:tcW w:type="dxa" w:w="23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Google Analytics çerezleri: _ga, _ga_*, _gid (kullanılıyorsa) – Google</w:t>
            </w:r>
          </w:p>
        </w:tc>
        <w:tc>
          <w:tcPr>
            <w:tcW w:type="dxa" w:w="38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Ziyaretçi ve oturumların takma adla ölçülmesi, trafik kaynağı ve sayfa kullanımının analiz edilmesi. Çerez kimliği, cihaz/tarayıcı ve kullanım verileri işlenebilir.</w:t>
            </w:r>
          </w:p>
        </w:tc>
        <w:tc>
          <w:tcPr>
            <w:tcW w:type="dxa" w:w="17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Üçüncü taraf / Analitik</w:t>
            </w:r>
          </w:p>
        </w:tc>
        <w:tc>
          <w:tcPr>
            <w:tcW w:type="dxa" w:w="200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_ga ve _ga_* en fazla 2 yıl; _gid en fazla 24 saat. Yalnızca açık rıza sonrasında.</w:t>
            </w:r>
          </w:p>
        </w:tc>
      </w:tr>
      <w:tr>
        <w:trPr>
          <w:cantSplit/>
        </w:trPr>
        <w:tc>
          <w:tcPr>
            <w:tcW w:type="dxa" w:w="23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Google Maps veya benzeri gömülü harita teknolojileri (kullanılıyorsa) – Google veya ilgili sağlayıcı</w:t>
            </w:r>
          </w:p>
        </w:tc>
        <w:tc>
          <w:tcPr>
            <w:tcW w:type="dxa" w:w="38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Ofis konumunun harita üzerinde gösterilmesi ve harita etkileşimlerinin sağlanması. IP, cihaz, yaklaşık konum ve etkileşim verileri işlenebilir.</w:t>
            </w:r>
          </w:p>
        </w:tc>
        <w:tc>
          <w:tcPr>
            <w:tcW w:type="dxa" w:w="17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Üçüncü taraf / İşlevsel</w:t>
            </w:r>
          </w:p>
        </w:tc>
        <w:tc>
          <w:tcPr>
            <w:tcW w:type="dxa" w:w="20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Sağlayıcının güncel teknik yapılandırmasına göre değişir; içerik kural olarak açık rıza sonrasında yüklenir.</w:t>
            </w:r>
          </w:p>
        </w:tc>
      </w:tr>
      <w:tr>
        <w:trPr>
          <w:cantSplit/>
        </w:trPr>
        <w:tc>
          <w:tcPr>
            <w:tcW w:type="dxa" w:w="23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Google reCAPTCHA çerezleri: _GRECAPTCHA ve sağlayıcıya ait ilişkili çerezler (kullanılıyorsa) – Google</w:t>
            </w:r>
          </w:p>
        </w:tc>
        <w:tc>
          <w:tcPr>
            <w:tcW w:type="dxa" w:w="38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Formları otomatik ve kötü niyetli kullanıma karşı korumak. IP, tarayıcı/cihaz, gezinme ve risk sinyalleri işlenebilir.</w:t>
            </w:r>
          </w:p>
        </w:tc>
        <w:tc>
          <w:tcPr>
            <w:tcW w:type="dxa" w:w="1700"/>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Üçüncü taraf / Güvenlik-işlevsel</w:t>
            </w:r>
          </w:p>
        </w:tc>
        <w:tc>
          <w:tcPr>
            <w:tcW w:type="dxa" w:w="2008"/>
            <w:shd w:val="clear" w:color="auto" w:fill="F1F5FB"/>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_GRECAPTCHA bakımından en fazla 6 ay; diğer süreler sağlayıcıya göre değişebilir. Hukuki sebep ve KVKK m. 9 aktarım mekanizması doğrulanmalıdır.</w:t>
            </w:r>
          </w:p>
        </w:tc>
      </w:tr>
      <w:tr>
        <w:trPr>
          <w:cantSplit/>
        </w:trPr>
        <w:tc>
          <w:tcPr>
            <w:tcW w:type="dxa" w:w="23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Gömülü video, sosyal medya veya diğer üçüncü taraf etiketleri (kullanılıyorsa) – İlgili sağlayıcı</w:t>
            </w:r>
          </w:p>
        </w:tc>
        <w:tc>
          <w:tcPr>
            <w:tcW w:type="dxa" w:w="38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İçerik gösterimi, etkileşim, ölçüm veya pazarlama işlevleri. IP, çevrim içi tanımlayıcı, kullanım ve profil verileri işlenebilir.</w:t>
            </w:r>
          </w:p>
        </w:tc>
        <w:tc>
          <w:tcPr>
            <w:tcW w:type="dxa" w:w="1700"/>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Üçüncü taraf / İşlevsel, analitik veya pazarlama</w:t>
            </w:r>
          </w:p>
        </w:tc>
        <w:tc>
          <w:tcPr>
            <w:tcW w:type="dxa" w:w="2008"/>
            <w:shd w:val="clear" w:color="auto" w:fill="FFFFFF"/>
            <w:tcBorders>
              <w:top w:val="single" w:sz="4" w:space="0" w:color="B4C6E7"/>
              <w:left w:val="single" w:sz="4" w:space="0" w:color="B4C6E7"/>
              <w:bottom w:val="single" w:sz="4" w:space="0" w:color="B4C6E7"/>
              <w:right w:val="single" w:sz="4" w:space="0" w:color="B4C6E7"/>
            </w:tcBorders>
            <w:vAlign w:val="top"/>
            <w:tcMar>
              <w:top w:w="80" w:type="dxa"/>
              <w:start w:w="90" w:type="dxa"/>
              <w:bottom w:w="80" w:type="dxa"/>
              <w:end w:w="90" w:type="dxa"/>
            </w:tcMar>
          </w:tcPr>
          <w:p>
            <w:pPr>
              <w:widowControl/>
              <w:spacing w:before="0" w:after="0" w:line="240" w:lineRule="auto"/>
              <w:jc w:val="left"/>
            </w:pPr>
            <w:r/>
            <w:r>
              <w:rPr>
                <w:rFonts w:ascii="Arial" w:hAnsi="Arial"/>
                <w:b w:val="0"/>
                <w:color w:val="404040"/>
                <w:sz w:val="15"/>
              </w:rPr>
              <w:t>Sağlayıcı ve çereze göre değişir; zorunlu olmayanlar yalnızca ilgili kategori için açık rıza sonrasında etkinleştirilir.</w:t>
            </w:r>
          </w:p>
        </w:tc>
      </w:tr>
    </w:tbl>
    <w:p>
      <w:pPr>
        <w:spacing w:after="0" w:before="0"/>
      </w:pPr>
    </w:p>
    <w:p>
      <w:pPr>
        <w:pStyle w:val="Balk1"/>
        <w:keepNext/>
      </w:pPr>
      <w:r>
        <w:rPr>
          <w:rFonts w:ascii="Arial" w:hAnsi="Arial"/>
          <w:b/>
          <w:color w:val="17365D"/>
        </w:rPr>
        <w:t>10. KVKK m. 11 Kapsamındaki Haklarınız</w:t>
      </w:r>
    </w:p>
    <w:p>
      <w:pPr>
        <w:keepNext w:val="0"/>
        <w:widowControl/>
        <w:spacing w:before="0" w:after="60" w:line="264" w:lineRule="auto"/>
        <w:jc w:val="both"/>
      </w:pPr>
      <w:r>
        <w:rPr>
          <w:rFonts w:ascii="Arial" w:hAnsi="Arial"/>
          <w:color w:val="404040"/>
        </w:rPr>
        <w:t>Büro’ya başvurarak aşağıdaki haklarınızı kullanabilirsiniz:</w:t>
      </w:r>
    </w:p>
    <w:p>
      <w:pPr>
        <w:spacing w:after="60" w:line="252" w:lineRule="auto"/>
        <w:ind w:left="259" w:hanging="144"/>
        <w:jc w:val="both"/>
      </w:pPr>
      <w:r>
        <w:rPr>
          <w:rFonts w:ascii="Arial" w:hAnsi="Arial"/>
          <w:color w:val="000000"/>
          <w:sz w:val="18"/>
        </w:rPr>
        <w:t>●</w:t>
      </w:r>
      <w:r>
        <w:rPr>
          <w:rFonts w:ascii="Arial" w:hAnsi="Arial"/>
          <w:color w:val="404040"/>
          <w:sz w:val="18"/>
        </w:rPr>
        <w:t xml:space="preserve">    Kişisel verilerinizin işlenip işlenmediğini öğrenme;</w:t>
      </w:r>
    </w:p>
    <w:p>
      <w:pPr>
        <w:spacing w:after="60" w:line="252" w:lineRule="auto"/>
        <w:ind w:left="259" w:hanging="144"/>
        <w:jc w:val="both"/>
      </w:pPr>
      <w:r>
        <w:rPr>
          <w:rFonts w:ascii="Arial" w:hAnsi="Arial"/>
          <w:color w:val="000000"/>
          <w:sz w:val="18"/>
        </w:rPr>
        <w:t>●</w:t>
      </w:r>
      <w:r>
        <w:rPr>
          <w:rFonts w:ascii="Arial" w:hAnsi="Arial"/>
          <w:color w:val="404040"/>
          <w:sz w:val="18"/>
        </w:rPr>
        <w:t xml:space="preserve">    Kişisel verileriniz işlenmişse buna ilişkin bilgi talep etme;</w:t>
      </w:r>
    </w:p>
    <w:p>
      <w:pPr>
        <w:spacing w:after="60" w:line="252" w:lineRule="auto"/>
        <w:ind w:left="259" w:hanging="144"/>
        <w:jc w:val="both"/>
      </w:pPr>
      <w:r>
        <w:rPr>
          <w:rFonts w:ascii="Arial" w:hAnsi="Arial"/>
          <w:color w:val="000000"/>
          <w:sz w:val="18"/>
        </w:rPr>
        <w:t>●</w:t>
      </w:r>
      <w:r>
        <w:rPr>
          <w:rFonts w:ascii="Arial" w:hAnsi="Arial"/>
          <w:color w:val="404040"/>
          <w:sz w:val="18"/>
        </w:rPr>
        <w:t xml:space="preserve">    Kişisel verilerinizin işlenme amacını ve amaca uygun kullanılıp kullanılmadığını öğrenme;</w:t>
      </w:r>
    </w:p>
    <w:p>
      <w:pPr>
        <w:spacing w:after="60" w:line="252" w:lineRule="auto"/>
        <w:ind w:left="259" w:hanging="144"/>
        <w:jc w:val="both"/>
      </w:pPr>
      <w:r>
        <w:rPr>
          <w:rFonts w:ascii="Arial" w:hAnsi="Arial"/>
          <w:color w:val="000000"/>
          <w:sz w:val="18"/>
        </w:rPr>
        <w:t>●</w:t>
      </w:r>
      <w:r>
        <w:rPr>
          <w:rFonts w:ascii="Arial" w:hAnsi="Arial"/>
          <w:color w:val="404040"/>
          <w:sz w:val="18"/>
        </w:rPr>
        <w:t xml:space="preserve">    Kişisel verilerinizin yurt içinde veya yurt dışında aktarıldığı üçüncü kişileri bilme;</w:t>
      </w:r>
    </w:p>
    <w:p>
      <w:pPr>
        <w:spacing w:after="60" w:line="252" w:lineRule="auto"/>
        <w:ind w:left="259" w:hanging="144"/>
        <w:jc w:val="both"/>
      </w:pPr>
      <w:r>
        <w:rPr>
          <w:rFonts w:ascii="Arial" w:hAnsi="Arial"/>
          <w:color w:val="000000"/>
          <w:sz w:val="18"/>
        </w:rPr>
        <w:t>●</w:t>
      </w:r>
      <w:r>
        <w:rPr>
          <w:rFonts w:ascii="Arial" w:hAnsi="Arial"/>
          <w:color w:val="404040"/>
          <w:sz w:val="18"/>
        </w:rPr>
        <w:t xml:space="preserve">    Eksik veya yanlış işlenen kişisel verilerin düzeltilmesini isteme;</w:t>
      </w:r>
    </w:p>
    <w:p>
      <w:pPr>
        <w:spacing w:after="60" w:line="252" w:lineRule="auto"/>
        <w:ind w:left="259" w:hanging="144"/>
        <w:jc w:val="both"/>
      </w:pPr>
      <w:r>
        <w:rPr>
          <w:rFonts w:ascii="Arial" w:hAnsi="Arial"/>
          <w:color w:val="000000"/>
          <w:sz w:val="18"/>
        </w:rPr>
        <w:t>●</w:t>
      </w:r>
      <w:r>
        <w:rPr>
          <w:rFonts w:ascii="Arial" w:hAnsi="Arial"/>
          <w:color w:val="404040"/>
          <w:sz w:val="18"/>
        </w:rPr>
        <w:t xml:space="preserve">    KVKK m. 7’deki şartlar çerçevesinde kişisel verilerin silinmesini veya yok edilmesini isteme;</w:t>
      </w:r>
    </w:p>
    <w:p>
      <w:pPr>
        <w:spacing w:after="60" w:line="252" w:lineRule="auto"/>
        <w:ind w:left="259" w:hanging="144"/>
        <w:jc w:val="both"/>
      </w:pPr>
      <w:r>
        <w:rPr>
          <w:rFonts w:ascii="Arial" w:hAnsi="Arial"/>
          <w:color w:val="000000"/>
          <w:sz w:val="18"/>
        </w:rPr>
        <w:t>●</w:t>
      </w:r>
      <w:r>
        <w:rPr>
          <w:rFonts w:ascii="Arial" w:hAnsi="Arial"/>
          <w:color w:val="404040"/>
          <w:sz w:val="18"/>
        </w:rPr>
        <w:t xml:space="preserve">    Düzeltme, silme veya yok etme işlemlerinin verilerin aktarıldığı üçüncü kişilere bildirilmesini isteme;</w:t>
      </w:r>
    </w:p>
    <w:p>
      <w:pPr>
        <w:spacing w:after="60" w:line="252" w:lineRule="auto"/>
        <w:ind w:left="259" w:hanging="144"/>
        <w:jc w:val="both"/>
      </w:pPr>
      <w:r>
        <w:rPr>
          <w:rFonts w:ascii="Arial" w:hAnsi="Arial"/>
          <w:color w:val="000000"/>
          <w:sz w:val="18"/>
        </w:rPr>
        <w:t>●</w:t>
      </w:r>
      <w:r>
        <w:rPr>
          <w:rFonts w:ascii="Arial" w:hAnsi="Arial"/>
          <w:color w:val="404040"/>
          <w:sz w:val="18"/>
        </w:rPr>
        <w:t xml:space="preserve">    İşlenen verilerin yalnızca otomatik sistemlerle analiz edilmesi sonucunda aleyhinize bir sonuç doğmasına itiraz etme;</w:t>
      </w:r>
    </w:p>
    <w:p>
      <w:pPr>
        <w:spacing w:after="60" w:line="252" w:lineRule="auto"/>
        <w:ind w:left="259" w:hanging="144"/>
        <w:jc w:val="both"/>
      </w:pPr>
      <w:r>
        <w:rPr>
          <w:rFonts w:ascii="Arial" w:hAnsi="Arial"/>
          <w:color w:val="000000"/>
          <w:sz w:val="18"/>
        </w:rPr>
        <w:t>●</w:t>
      </w:r>
      <w:r>
        <w:rPr>
          <w:rFonts w:ascii="Arial" w:hAnsi="Arial"/>
          <w:color w:val="404040"/>
          <w:sz w:val="18"/>
        </w:rPr>
        <w:t xml:space="preserve">    Kişisel verilerin kanuna aykırı işlenmesi nedeniyle zarara uğramanız hâlinde zararın giderilmesini talep etme.</w:t>
      </w:r>
    </w:p>
    <w:p>
      <w:pPr>
        <w:pStyle w:val="Balk1"/>
        <w:keepNext/>
      </w:pPr>
      <w:r>
        <w:rPr>
          <w:rFonts w:ascii="Arial" w:hAnsi="Arial"/>
          <w:b/>
          <w:color w:val="17365D"/>
        </w:rPr>
        <w:t>11. Hakların Kullanılması ve Başvuru Yöntemleri</w:t>
      </w:r>
    </w:p>
    <w:p>
      <w:pPr>
        <w:keepNext w:val="0"/>
        <w:widowControl/>
        <w:spacing w:before="0" w:after="60" w:line="264" w:lineRule="auto"/>
        <w:jc w:val="both"/>
      </w:pPr>
      <w:r>
        <w:rPr>
          <w:rFonts w:ascii="Arial" w:hAnsi="Arial"/>
          <w:color w:val="404040"/>
        </w:rPr>
        <w:t>KVKK kapsamındaki taleplerinizi, Veri Sorumlusuna Başvuru Usul ve Esasları Hakkında Tebliğ’e uygun olarak aşağıdaki yöntemlerden biriyle Büro’ya iletebilirsiniz:</w:t>
      </w:r>
    </w:p>
    <w:p>
      <w:pPr>
        <w:spacing w:after="60" w:line="252" w:lineRule="auto"/>
        <w:ind w:left="259" w:hanging="144"/>
        <w:jc w:val="both"/>
      </w:pPr>
      <w:r>
        <w:rPr>
          <w:rFonts w:ascii="Arial" w:hAnsi="Arial"/>
          <w:color w:val="000000"/>
          <w:sz w:val="18"/>
        </w:rPr>
        <w:t>●</w:t>
      </w:r>
      <w:r>
        <w:rPr>
          <w:rFonts w:ascii="Arial" w:hAnsi="Arial"/>
          <w:color w:val="404040"/>
          <w:sz w:val="18"/>
        </w:rPr>
        <w:t xml:space="preserve">    Islak imzalı dilekçenin şahsen veya posta yoluyla veri sorumlusunun adresine gönderilmesi;</w:t>
      </w:r>
    </w:p>
    <w:p>
      <w:pPr>
        <w:spacing w:after="60" w:line="252" w:lineRule="auto"/>
        <w:ind w:left="259" w:hanging="144"/>
        <w:jc w:val="both"/>
      </w:pPr>
      <w:r>
        <w:rPr>
          <w:rFonts w:ascii="Arial" w:hAnsi="Arial"/>
          <w:color w:val="000000"/>
          <w:sz w:val="18"/>
        </w:rPr>
        <w:t>●</w:t>
      </w:r>
      <w:r>
        <w:rPr>
          <w:rFonts w:ascii="Arial" w:hAnsi="Arial"/>
          <w:color w:val="404040"/>
          <w:sz w:val="18"/>
        </w:rPr>
        <w:t xml:space="preserve">    Kayıtlı elektronik posta (KEP) adresinizden Büro’nun ilan edilmiş KEP adresine başvuru yapılması;</w:t>
      </w:r>
    </w:p>
    <w:p>
      <w:pPr>
        <w:spacing w:after="60" w:line="252" w:lineRule="auto"/>
        <w:ind w:left="259" w:hanging="144"/>
        <w:jc w:val="both"/>
      </w:pPr>
      <w:r>
        <w:rPr>
          <w:rFonts w:ascii="Arial" w:hAnsi="Arial"/>
          <w:color w:val="000000"/>
          <w:sz w:val="18"/>
        </w:rPr>
        <w:t>●</w:t>
      </w:r>
      <w:r>
        <w:rPr>
          <w:rFonts w:ascii="Arial" w:hAnsi="Arial"/>
          <w:color w:val="404040"/>
          <w:sz w:val="18"/>
        </w:rPr>
        <w:t xml:space="preserve">    Güvenli elektronik imza veya mobil imza kullanılması;</w:t>
      </w:r>
    </w:p>
    <w:p>
      <w:pPr>
        <w:spacing w:after="60" w:line="252" w:lineRule="auto"/>
        <w:ind w:left="259" w:hanging="144"/>
        <w:jc w:val="both"/>
      </w:pPr>
      <w:r>
        <w:rPr>
          <w:rFonts w:ascii="Arial" w:hAnsi="Arial"/>
          <w:color w:val="000000"/>
          <w:sz w:val="18"/>
        </w:rPr>
        <w:t>●</w:t>
      </w:r>
      <w:r>
        <w:rPr>
          <w:rFonts w:ascii="Arial" w:hAnsi="Arial"/>
          <w:color w:val="404040"/>
          <w:sz w:val="18"/>
        </w:rPr>
        <w:t xml:space="preserve">    Daha önce Büro’ya bildirdiğiniz ve Büro sisteminde kayıtlı bulunan e-posta adresinizden başvuru gönderilmesi;</w:t>
      </w:r>
    </w:p>
    <w:p>
      <w:pPr>
        <w:spacing w:after="60" w:line="252" w:lineRule="auto"/>
        <w:ind w:left="259" w:hanging="144"/>
        <w:jc w:val="both"/>
      </w:pPr>
      <w:r>
        <w:rPr>
          <w:rFonts w:ascii="Arial" w:hAnsi="Arial"/>
          <w:color w:val="000000"/>
          <w:sz w:val="18"/>
        </w:rPr>
        <w:t>●</w:t>
      </w:r>
      <w:r>
        <w:rPr>
          <w:rFonts w:ascii="Arial" w:hAnsi="Arial"/>
          <w:color w:val="404040"/>
          <w:sz w:val="18"/>
        </w:rPr>
        <w:t xml:space="preserve">    Büro tarafından başvuru amacıyla oluşturulmuş elektronik form, yazılım veya uygulamanın kullanılması.</w:t>
      </w:r>
    </w:p>
    <w:p>
      <w:pPr>
        <w:keepNext w:val="0"/>
        <w:widowControl/>
        <w:spacing w:before="0" w:after="120" w:line="264" w:lineRule="auto"/>
        <w:jc w:val="both"/>
      </w:pPr>
      <w:r>
        <w:rPr>
          <w:rFonts w:ascii="Arial" w:hAnsi="Arial"/>
          <w:color w:val="404040"/>
        </w:rPr>
        <w:t>Başvuruda; ad ve soyad, başvuru yazılıysa imza, Türkiye Cumhuriyeti vatandaşları için T.C. kimlik numarası, yabancılar için uyruk ile pasaport numarası veya varsa kimlik numarası, tebligata esas yerleşim yeri ya da iş yeri adresi, varsa bildirime esas e-posta adresi, telefon/faks numarası ve talep konusu bulunmalıdır. Büro, kimliği doğrulamak ve talebi sonuçlandırmak için ölçülü ek bilgi veya belge isteyebilir.</w:t>
      </w:r>
    </w:p>
    <w:p>
      <w:pPr>
        <w:keepNext w:val="0"/>
        <w:widowControl/>
        <w:spacing w:before="0" w:after="120" w:line="264" w:lineRule="auto"/>
        <w:jc w:val="both"/>
      </w:pPr>
      <w:r>
        <w:rPr>
          <w:rFonts w:ascii="Arial" w:hAnsi="Arial"/>
          <w:color w:val="404040"/>
        </w:rPr>
        <w:t>Başvurular, talebin niteliğine göre en kısa sürede ve en geç otuz gün içinde sonuçlandırılır. İşlem ayrıca bir maliyet gerektirmedikçe başvuru ücretsizdir; maliyet doğması hâlinde Kişisel Verileri Koruma Kurulu tarafından belirlenen tarife uygulanabilir.</w:t>
      </w:r>
    </w:p>
    <w:tbl>
      <w:tblPr>
        <w:tblW w:type="auto" w:w="0"/>
        <w:jc w:val="center"/>
        <w:tblLayout w:type="fixed"/>
        <w:tblLook w:firstColumn="1" w:firstRow="1" w:lastColumn="0" w:lastRow="0" w:noHBand="0" w:noVBand="1" w:val="04A0"/>
      </w:tblPr>
      <w:tblGrid>
        <w:gridCol w:w="4904"/>
        <w:gridCol w:w="4904"/>
      </w:tblGrid>
      <w:tr>
        <w:trPr>
          <w:cantSplit/>
        </w:trPr>
        <w:tc>
          <w:tcPr>
            <w:tcW w:type="dxa" w:w="4904"/>
            <w:tcBorders>
              <w:top w:val="single" w:sz="4" w:space="0" w:color="B4C6E7"/>
              <w:left w:val="single" w:sz="4" w:space="0" w:color="B4C6E7"/>
              <w:bottom w:val="single" w:sz="4" w:space="0" w:color="B4C6E7"/>
              <w:right w:val="single" w:sz="4" w:space="0" w:color="B4C6E7"/>
            </w:tcBorders>
            <w:shd w:val="clear" w:color="auto" w:fill="DCE6F1"/>
            <w:vAlign w:val="center"/>
            <w:tcMar>
              <w:top w:w="80" w:type="dxa"/>
              <w:start w:w="90" w:type="dxa"/>
              <w:bottom w:w="80" w:type="dxa"/>
              <w:end w:w="90" w:type="dxa"/>
            </w:tcMar>
          </w:tcPr>
          <w:p>
            <w:pPr>
              <w:widowControl/>
              <w:spacing w:before="0" w:after="0" w:line="240" w:lineRule="auto"/>
              <w:jc w:val="left"/>
            </w:pPr>
            <w:r/>
            <w:r>
              <w:rPr>
                <w:rFonts w:ascii="Arial" w:hAnsi="Arial"/>
                <w:b/>
                <w:color w:val="17365D"/>
                <w:sz w:val="17"/>
              </w:rPr>
              <w:t>Veri sorumlusu</w:t>
            </w:r>
          </w:p>
        </w:tc>
        <w:tc>
          <w:tcPr>
            <w:tcW w:type="dxa" w:w="4904"/>
            <w:tcBorders>
              <w:top w:val="single" w:sz="4" w:space="0" w:color="B4C6E7"/>
              <w:left w:val="single" w:sz="4" w:space="0" w:color="B4C6E7"/>
              <w:bottom w:val="single" w:sz="4" w:space="0" w:color="B4C6E7"/>
              <w:right w:val="single" w:sz="4" w:space="0" w:color="B4C6E7"/>
            </w:tcBorders>
            <w:shd w:val="clear" w:color="auto" w:fill="FFFFFF"/>
            <w:vAlign w:val="center"/>
            <w:tcMar>
              <w:top w:w="80" w:type="dxa"/>
              <w:start w:w="90" w:type="dxa"/>
              <w:bottom w:w="80" w:type="dxa"/>
              <w:end w:w="90" w:type="dxa"/>
            </w:tcMar>
          </w:tcPr>
          <w:p>
            <w:pPr>
              <w:spacing w:before="0" w:after="0" w:line="240" w:lineRule="auto"/>
            </w:pPr>
            <w:r/>
            <w:r>
              <w:rPr>
                <w:rFonts w:ascii="Arial" w:hAnsi="Arial"/>
                <w:b/>
                <w:color w:val="9C0006"/>
                <w:sz w:val="17"/>
              </w:rPr>
              <w:t>Mustafa Topaloğlu</w:t>
            </w:r>
          </w:p>
        </w:tc>
      </w:tr>
      <w:tr>
        <w:trPr>
          <w:cantSplit/>
        </w:trPr>
        <w:tc>
          <w:tcPr>
            <w:tcW w:type="dxa" w:w="4904"/>
            <w:tcBorders>
              <w:top w:val="single" w:sz="4" w:space="0" w:color="B4C6E7"/>
              <w:left w:val="single" w:sz="4" w:space="0" w:color="B4C6E7"/>
              <w:bottom w:val="single" w:sz="4" w:space="0" w:color="B4C6E7"/>
              <w:right w:val="single" w:sz="4" w:space="0" w:color="B4C6E7"/>
            </w:tcBorders>
            <w:shd w:val="clear" w:color="auto" w:fill="DCE6F1"/>
            <w:vAlign w:val="center"/>
            <w:tcMar>
              <w:top w:w="80" w:type="dxa"/>
              <w:start w:w="90" w:type="dxa"/>
              <w:bottom w:w="80" w:type="dxa"/>
              <w:end w:w="90" w:type="dxa"/>
            </w:tcMar>
          </w:tcPr>
          <w:p>
            <w:pPr>
              <w:widowControl/>
              <w:spacing w:before="0" w:after="0" w:line="240" w:lineRule="auto"/>
              <w:jc w:val="left"/>
            </w:pPr>
            <w:r/>
            <w:r>
              <w:rPr>
                <w:rFonts w:ascii="Arial" w:hAnsi="Arial"/>
                <w:b/>
                <w:color w:val="17365D"/>
                <w:sz w:val="17"/>
              </w:rPr>
              <w:t>Posta / elden başvuru adresi</w:t>
            </w:r>
          </w:p>
        </w:tc>
        <w:tc>
          <w:tcPr>
            <w:tcW w:type="dxa" w:w="4904"/>
            <w:tcBorders>
              <w:top w:val="single" w:sz="4" w:space="0" w:color="B4C6E7"/>
              <w:left w:val="single" w:sz="4" w:space="0" w:color="B4C6E7"/>
              <w:bottom w:val="single" w:sz="4" w:space="0" w:color="B4C6E7"/>
              <w:right w:val="single" w:sz="4" w:space="0" w:color="B4C6E7"/>
            </w:tcBorders>
            <w:shd w:val="clear" w:color="auto" w:fill="FFFFFF"/>
            <w:vAlign w:val="center"/>
            <w:tcMar>
              <w:top w:w="80" w:type="dxa"/>
              <w:start w:w="90" w:type="dxa"/>
              <w:bottom w:w="80" w:type="dxa"/>
              <w:end w:w="90" w:type="dxa"/>
            </w:tcMar>
          </w:tcPr>
          <w:p>
            <w:pPr>
              <w:spacing w:before="0" w:after="0" w:line="240" w:lineRule="auto"/>
            </w:pPr>
            <w:r/>
            <w:r>
              <w:rPr>
                <w:rFonts w:ascii="Arial" w:hAnsi="Arial"/>
                <w:b/>
                <w:color w:val="9C0006"/>
                <w:sz w:val="17"/>
              </w:rPr>
              <w:t>Barbaros Mahallesi, Ahlat Sokak, Varyap Meridian Sitesi E Blok Kat:23 Daire:153 Ataşehir/İstanbul</w:t>
            </w:r>
          </w:p>
        </w:tc>
      </w:tr>
      <w:tr>
        <w:trPr>
          <w:cantSplit/>
        </w:trPr>
        <w:tc>
          <w:tcPr>
            <w:tcW w:type="dxa" w:w="4904"/>
            <w:tcBorders>
              <w:top w:val="single" w:sz="4" w:space="0" w:color="B4C6E7"/>
              <w:left w:val="single" w:sz="4" w:space="0" w:color="B4C6E7"/>
              <w:bottom w:val="single" w:sz="4" w:space="0" w:color="B4C6E7"/>
              <w:right w:val="single" w:sz="4" w:space="0" w:color="B4C6E7"/>
            </w:tcBorders>
            <w:shd w:val="clear" w:color="auto" w:fill="DCE6F1"/>
            <w:vAlign w:val="center"/>
            <w:tcMar>
              <w:top w:w="80" w:type="dxa"/>
              <w:start w:w="90" w:type="dxa"/>
              <w:bottom w:w="80" w:type="dxa"/>
              <w:end w:w="90" w:type="dxa"/>
            </w:tcMar>
          </w:tcPr>
          <w:p>
            <w:pPr>
              <w:widowControl/>
              <w:spacing w:before="0" w:after="0" w:line="240" w:lineRule="auto"/>
              <w:jc w:val="left"/>
            </w:pPr>
            <w:r/>
            <w:r>
              <w:rPr>
                <w:rFonts w:ascii="Arial" w:hAnsi="Arial"/>
                <w:b/>
                <w:color w:val="17365D"/>
                <w:sz w:val="17"/>
              </w:rPr>
              <w:t>Başvuru e-postası</w:t>
            </w:r>
          </w:p>
        </w:tc>
        <w:tc>
          <w:tcPr>
            <w:tcW w:type="dxa" w:w="4904"/>
            <w:tcBorders>
              <w:top w:val="single" w:sz="4" w:space="0" w:color="B4C6E7"/>
              <w:left w:val="single" w:sz="4" w:space="0" w:color="B4C6E7"/>
              <w:bottom w:val="single" w:sz="4" w:space="0" w:color="B4C6E7"/>
              <w:right w:val="single" w:sz="4" w:space="0" w:color="B4C6E7"/>
            </w:tcBorders>
            <w:shd w:val="clear" w:color="auto" w:fill="FFFFFF"/>
            <w:vAlign w:val="center"/>
            <w:tcMar>
              <w:top w:w="80" w:type="dxa"/>
              <w:start w:w="90" w:type="dxa"/>
              <w:bottom w:w="80" w:type="dxa"/>
              <w:end w:w="90" w:type="dxa"/>
            </w:tcMar>
          </w:tcPr>
          <w:p>
            <w:pPr>
              <w:spacing w:before="0" w:after="0" w:line="240" w:lineRule="auto"/>
            </w:pPr>
            <w:r/>
            <w:hyperlink r:id="rId8">
              <w:r>
                <w:rPr>
                  <w:rFonts w:ascii="Arial" w:hAnsi="Arial"/>
                  <w:color w:val="0000FF"/>
                  <w:u w:val="single"/>
                  <w:sz w:val="17"/>
                  <w:szCs w:val="17"/>
                </w:rPr>
                <w:t>mt@mustafatopaloglu.av.tr</w:t>
              </w:r>
            </w:hyperlink>
          </w:p>
        </w:tc>
      </w:tr>
      <w:tr>
        <w:trPr>
          <w:cantSplit/>
        </w:trPr>
        <w:tc>
          <w:tcPr>
            <w:tcW w:type="dxa" w:w="4904"/>
            <w:tcBorders>
              <w:top w:val="single" w:sz="4" w:space="0" w:color="B4C6E7"/>
              <w:left w:val="single" w:sz="4" w:space="0" w:color="B4C6E7"/>
              <w:bottom w:val="single" w:sz="4" w:space="0" w:color="B4C6E7"/>
              <w:right w:val="single" w:sz="4" w:space="0" w:color="B4C6E7"/>
            </w:tcBorders>
            <w:shd w:val="clear" w:color="auto" w:fill="DCE6F1"/>
            <w:vAlign w:val="center"/>
            <w:tcMar>
              <w:top w:w="80" w:type="dxa"/>
              <w:start w:w="90" w:type="dxa"/>
              <w:bottom w:w="80" w:type="dxa"/>
              <w:end w:w="90" w:type="dxa"/>
            </w:tcMar>
          </w:tcPr>
          <w:p>
            <w:pPr>
              <w:widowControl/>
              <w:spacing w:before="0" w:after="0" w:line="240" w:lineRule="auto"/>
              <w:jc w:val="left"/>
            </w:pPr>
            <w:r/>
            <w:r>
              <w:rPr>
                <w:rFonts w:ascii="Arial" w:hAnsi="Arial"/>
                <w:b/>
                <w:color w:val="17365D"/>
                <w:sz w:val="17"/>
              </w:rPr>
              <w:t>Elektronik başvuru formu / internet sitesi</w:t>
            </w:r>
          </w:p>
        </w:tc>
        <w:tc>
          <w:tcPr>
            <w:tcW w:type="dxa" w:w="4904"/>
            <w:tcBorders>
              <w:top w:val="single" w:sz="4" w:space="0" w:color="B4C6E7"/>
              <w:left w:val="single" w:sz="4" w:space="0" w:color="B4C6E7"/>
              <w:bottom w:val="single" w:sz="4" w:space="0" w:color="B4C6E7"/>
              <w:right w:val="single" w:sz="4" w:space="0" w:color="B4C6E7"/>
            </w:tcBorders>
            <w:shd w:val="clear" w:color="auto" w:fill="FFFFFF"/>
            <w:vAlign w:val="center"/>
            <w:tcMar>
              <w:top w:w="80" w:type="dxa"/>
              <w:start w:w="90" w:type="dxa"/>
              <w:bottom w:w="80" w:type="dxa"/>
              <w:end w:w="90" w:type="dxa"/>
            </w:tcMar>
          </w:tcPr>
          <w:p>
            <w:pPr>
              <w:spacing w:before="0" w:after="0" w:line="240" w:lineRule="auto"/>
            </w:pPr>
            <w:r/>
            <w:hyperlink r:id="rId14">
              <w:r>
                <w:rPr>
                  <w:rFonts w:ascii="Arial" w:hAnsi="Arial"/>
                  <w:color w:val="9C0006"/>
                  <w:b/>
                  <w:sz w:val="17"/>
                  <w:szCs w:val="17"/>
                </w:rPr>
                <w:t>mtopaloglu.av.tr</w:t>
              </w:r>
            </w:hyperlink>
          </w:p>
        </w:tc>
      </w:tr>
    </w:tbl>
    <w:p>
      <w:pPr>
        <w:spacing w:after="0"/>
      </w:pPr>
    </w:p>
    <w:p>
      <w:pPr>
        <w:pStyle w:val="Balk1"/>
        <w:keepNext/>
      </w:pPr>
      <w:r>
        <w:rPr>
          <w:rFonts w:ascii="Arial" w:hAnsi="Arial"/>
          <w:b/>
          <w:color w:val="17365D"/>
        </w:rPr>
        <w:t>12. Metnin Güncellenmesi</w:t>
      </w:r>
    </w:p>
    <w:p>
      <w:pPr>
        <w:widowControl/>
        <w:spacing w:before="0" w:after="120" w:line="264" w:lineRule="auto"/>
        <w:jc w:val="both"/>
      </w:pPr>
      <w:r>
        <w:rPr>
          <w:rFonts w:ascii="Arial" w:hAnsi="Arial"/>
          <w:color w:val="404040"/>
        </w:rPr>
        <w:t xml:space="preserve">Bu aydınlatma metni; internet sitesinin teknik yapısında, kullanılan çerez ve hizmet sağlayıcılarında, kişisel veri işleme faaliyetlerinde veya ilgili mevzuatta meydana gelebilecek değişiklikler doğrultusunda güncellenebilir. Güncel metin </w:t>
      </w:r>
      <w:hyperlink r:id="rId14">
        <w:r>
          <w:rPr>
            <w:rFonts w:ascii="Arial" w:hAnsi="Arial"/>
            <w:color w:val="9C0006"/>
            <w:b/>
          </w:rPr>
          <w:t>mtopaloglu.av.tr</w:t>
        </w:r>
      </w:hyperlink>
      <w:r>
        <w:rPr>
          <w:rFonts w:ascii="Arial" w:hAnsi="Arial"/>
          <w:color w:val="404040"/>
        </w:rPr>
        <w:t xml:space="preserve"> adresinde yayımlanır. Çerez envanteri ile çerez yönetim panelindeki bilgiler arasında tutarlılık sağlanır.</w:t>
      </w:r>
    </w:p>
    <w:tbl>
      <w:tblPr>
        <w:tblW w:type="auto" w:w="0"/>
        <w:jc w:val="center"/>
        <w:tblLayout w:type="fixed"/>
        <w:tblLook w:firstColumn="1" w:firstRow="1" w:lastColumn="0" w:lastRow="0" w:noHBand="0" w:noVBand="1" w:val="04A0"/>
      </w:tblPr>
      <w:tblGrid>
        <w:gridCol w:w="9808"/>
      </w:tblGrid>
      <w:tr>
        <w:tc>
          <w:tcPr>
            <w:tcW w:type="dxa" w:w="9808"/>
            <w:shd w:val="clear" w:color="auto" w:fill="F2F2F2"/>
            <w:tcBorders>
              <w:top w:val="single" w:sz="6" w:space="0" w:color="808080"/>
              <w:left w:val="single" w:sz="6" w:space="0" w:color="808080"/>
              <w:bottom w:val="single" w:sz="6" w:space="0" w:color="808080"/>
              <w:right w:val="single" w:sz="6" w:space="0" w:color="808080"/>
            </w:tcBorders>
            <w:tcMar>
              <w:top w:w="120" w:type="dxa"/>
              <w:start w:w="100" w:type="dxa"/>
              <w:bottom w:w="120" w:type="dxa"/>
              <w:end w:w="100" w:type="dxa"/>
            </w:tcMar>
          </w:tcPr>
          <w:p>
            <w:pPr>
              <w:spacing w:after="40"/>
            </w:pPr>
            <w:r/>
            <w:r>
              <w:rPr>
                <w:rFonts w:ascii="Arial" w:hAnsi="Arial"/>
                <w:b/>
                <w:color w:val="17365D"/>
                <w:sz w:val="19"/>
              </w:rPr>
              <w:t>Mevzuat ve rehber dayanağı</w:t>
            </w:r>
          </w:p>
          <w:p>
            <w:pPr>
              <w:spacing w:after="40" w:line="252" w:lineRule="auto"/>
              <w:jc w:val="both"/>
            </w:pPr>
            <w:r>
              <w:rPr>
                <w:rFonts w:ascii="Arial" w:hAnsi="Arial"/>
                <w:color w:val="404040"/>
                <w:sz w:val="18"/>
              </w:rPr>
              <w:t>6698 sayılı Kişisel Verilerin Korunması Kanunu (özellikle m. 4, 5, 7, 8, 9, 10, 11, 12 ve 13); Aydınlatma Yükümlülüğünün Yerine Getirilmesinde Uyulacak Usul ve Esaslar Hakkında Tebliğ; Veri Sorumlusuna Başvuru Usul ve Esasları Hakkında Tebliğ; Kişisel Verilerin Yurt Dışına Aktarılmasına İlişkin Usul ve Esaslar Hakkında Yönetmelik; Kişisel Verilerin Silinmesi, Yok Edilmesi veya Anonim Hâle Getirilmesi Hakkında Yönetmelik; Kişisel Verileri Koruma Kurumunun Temmuz 2025 tarihli Çerez Uygulamaları Hakkında Rehberi; Kişisel Verileri Koruma Kurulunun 18.02.2026 tarihli ve 2026/347 sayılı İlke Kararı ile çerez uygulamalarına ilişkin ilgili Kurul kararları.</w:t>
            </w:r>
          </w:p>
        </w:tc>
      </w:tr>
    </w:tbl>
    <w:p>
      <w:pPr>
        <w:spacing w:after="0" w:before="0"/>
      </w:pPr>
    </w:p>
    <w:sectPr w:rsidR="00F43D93">
      <w:headerReference w:type="default" r:id="rId10"/>
      <w:footerReference w:type="default" r:id="rId11"/>
      <w:pgSz w:w="11906" w:h="16838"/>
      <w:pgMar w:top="1020" w:right="1049" w:bottom="964" w:left="1049" w:header="454"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F057A" w:rsidRDefault="004F057A">
      <w:pPr>
        <w:spacing w:after="0" w:line="240" w:lineRule="auto"/>
      </w:pPr>
      <w:r>
        <w:separator/>
      </w:r>
    </w:p>
  </w:endnote>
  <w:endnote w:type="continuationSeparator" w:id="0">
    <w:p w:rsidR="004F057A" w:rsidRDefault="004F0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panose1 w:val="020B0604020202020204"/>
    <w:charset w:val="00"/>
    <w:family w:val="auto"/>
    <w:pitch w:val="default"/>
    <w:embedRegular r:id="rId1" w:fontKey="{2FF0A2B9-75D3-D24A-AEE5-7FB958CECE89}"/>
  </w:font>
  <w:font w:name="Arial">
    <w:panose1 w:val="020B0604020202020204"/>
    <w:charset w:val="00"/>
    <w:family w:val="swiss"/>
    <w:pitch w:val="variable"/>
    <w:sig w:usb0="E0002AFF" w:usb1="C0007843" w:usb2="00000009" w:usb3="00000000" w:csb0="000001FF" w:csb1="00000000"/>
    <w:embedRegular r:id="rId2" w:fontKey="{B760D06A-1AFC-934D-B060-24EB1C73211A}"/>
    <w:embedBold r:id="rId3" w:fontKey="{D19D7DAA-7F21-8142-A32F-A83E786D29E8}"/>
    <w:embedItalic r:id="rId4" w:fontKey="{41A577B2-4C1A-3C4A-90CE-D873D5FEEB1E}"/>
    <w:embedBoldItalic r:id="rId5" w:fontKey="{ADA00731-D772-224A-AEA3-5AD59C5A5E92}"/>
  </w:font>
  <w:font w:name="Calibri">
    <w:panose1 w:val="020F0502020204030204"/>
    <w:charset w:val="00"/>
    <w:family w:val="swiss"/>
    <w:pitch w:val="variable"/>
    <w:sig w:usb0="E0002AFF" w:usb1="C000247B" w:usb2="00000009" w:usb3="00000000" w:csb0="000001FF" w:csb1="00000000"/>
    <w:embedRegular r:id="rId6" w:fontKey="{7A7FA7B0-F227-744F-842F-3EF3C4EAB35F}"/>
    <w:embedBold r:id="rId7" w:fontKey="{792A18D2-B3FD-4544-9627-EDC7C65A05EF}"/>
    <w:embedItalic r:id="rId8" w:fontKey="{CD2FC258-A7E2-0B45-B097-10FC147C5060}"/>
    <w:embedBoldItalic r:id="rId9" w:fontKey="{7A43068E-8F2D-3F42-AD61-0F3D5BF02775}"/>
  </w:font>
  <w:font w:name="Times New Roman">
    <w:panose1 w:val="02020603050405020304"/>
    <w:charset w:val="00"/>
    <w:family w:val="roman"/>
    <w:pitch w:val="variable"/>
    <w:sig w:usb0="E0002EFF" w:usb1="C000785B" w:usb2="00000009" w:usb3="00000000" w:csb0="000001FF" w:csb1="00000000"/>
    <w:embedRegular r:id="rId10" w:fontKey="{A56F13CD-5A29-9C4D-BAC0-A8D025AC497A}"/>
    <w:embedBold r:id="rId11" w:fontKey="{B1F45E84-1B27-2744-9D72-2CA5B182BA67}"/>
    <w:embedItalic r:id="rId12" w:fontKey="{6ABA14FD-75A1-0242-837A-BA609B9DA95F}"/>
    <w:embedBoldItalic r:id="rId13" w:fontKey="{3D3143DA-F409-384D-8DD0-656C32F00962}"/>
  </w:font>
  <w:font w:name="Courier">
    <w:panose1 w:val="00000000000000000000"/>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5" w:fontKey="{C1B44621-0010-F34F-BA79-A3D746BA9B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43D93" w:rsidRDefault="004F057A">
    <w:pPr>
      <w:pBdr>
        <w:top w:val="nil"/>
        <w:left w:val="nil"/>
        <w:bottom w:val="nil"/>
        <w:right w:val="nil"/>
        <w:between w:val="nil"/>
      </w:pBdr>
      <w:tabs>
        <w:tab w:val="center" w:pos="4680"/>
        <w:tab w:val="right" w:pos="9360"/>
      </w:tabs>
      <w:spacing w:after="0" w:line="240" w:lineRule="auto"/>
      <w:jc w:val="center"/>
      <w:rPr>
        <w:color w:val="000000"/>
      </w:rPr>
    </w:pPr>
    <w:r>
      <w:rPr>
        <w:rFonts w:ascii="Arial" w:hAnsi="Arial"/>
        <w:color w:val="6B7280"/>
        <w:sz w:val="17"/>
        <w:szCs w:val="17"/>
      </w:rPr>
      <w:t xml:space="preserve">Çerez Aydınlatma Metni  |  </w:t>
    </w:r>
    <w:r>
      <w:rPr>
        <w:rFonts w:ascii="Arial" w:hAnsi="Arial"/>
        <w:color w:val="6B7280"/>
        <w:sz w:val="17"/>
        <w:szCs w:val="17"/>
      </w:rPr>
      <w:t xml:space="preserve">Sayfa </w:t>
    </w:r>
    <w:r>
      <w:rPr>
        <w:color w:val="6B7280"/>
        <w:sz w:val="17"/>
        <w:szCs w:val="17"/>
      </w:rPr>
      <w:fldChar w:fldCharType="begin"/>
    </w:r>
    <w:r>
      <w:rPr>
        <w:color w:val="6B7280"/>
        <w:sz w:val="17"/>
        <w:szCs w:val="17"/>
      </w:rPr>
      <w:instrText>PAGE</w:instrText>
    </w:r>
    <w:r w:rsidR="007143D3">
      <w:rPr>
        <w:color w:val="6B7280"/>
        <w:sz w:val="17"/>
        <w:szCs w:val="17"/>
      </w:rPr>
      <w:fldChar w:fldCharType="separate"/>
    </w:r>
    <w:r w:rsidR="007143D3">
      <w:rPr>
        <w:noProof/>
        <w:color w:val="6B7280"/>
        <w:sz w:val="17"/>
        <w:szCs w:val="17"/>
      </w:rPr>
      <w:t>1</w:t>
    </w:r>
    <w:r>
      <w:rPr>
        <w:color w:val="6B7280"/>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F057A" w:rsidRDefault="004F057A">
      <w:pPr>
        <w:spacing w:after="0" w:line="240" w:lineRule="auto"/>
      </w:pPr>
      <w:r>
        <w:separator/>
      </w:r>
    </w:p>
  </w:footnote>
  <w:footnote w:type="continuationSeparator" w:id="0">
    <w:p w:rsidR="004F057A" w:rsidRDefault="004F0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43D93" w:rsidRDefault="004F057A">
    <w:pPr>
      <w:pBdr>
        <w:top w:val="nil"/>
        <w:left w:val="nil"/>
        <w:bottom w:val="single" w:sz="8" w:space="1" w:color="17365D"/>
        <w:right w:val="nil"/>
        <w:between w:val="nil"/>
      </w:pBdr>
      <w:tabs>
        <w:tab w:val="center" w:pos="4680"/>
        <w:tab w:val="right" w:pos="9360"/>
      </w:tabs>
      <w:spacing w:after="40" w:line="240" w:lineRule="auto"/>
      <w:rPr>
        <w:color w:val="000000"/>
      </w:rPr>
    </w:pPr>
    <w:r>
      <w:rPr>
        <w:b/>
        <w:bCs/>
        <w:color w:val="17365D"/>
        <w:sz w:val="18"/>
        <w:szCs w:val="18"/>
      </w:rPr>
      <w:t>[</w:t>
    </w:r>
    <w:r w:rsidR="007143D3">
      <w:rPr>
        <w:b/>
        <w:bCs/>
        <w:color w:val="17365D"/>
        <w:sz w:val="18"/>
        <w:szCs w:val="18"/>
      </w:rPr>
      <w:t>TOPALOĞLU AVUKATLIK BÜROSU</w:t>
    </w:r>
    <w:r>
      <w:rPr>
        <w:b/>
        <w:bCs/>
        <w:color w:val="17365D"/>
        <w:sz w:val="18"/>
        <w:szCs w:val="18"/>
      </w:rPr>
      <w:t>]</w:t>
    </w:r>
    <w:r>
      <w:rPr>
        <w:color w:val="6B7280"/>
        <w:sz w:val="17"/>
        <w:szCs w:val="17"/>
      </w:rPr>
      <w:t xml:space="preserve">  |  Kişisel Verilerin Korunması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CC7585"/>
    <w:multiLevelType w:val="multilevel"/>
    <w:tmpl w:val="8B6C3010"/>
    <w:lvl w:ilvl="0">
      <w:start w:val="1"/>
      <w:numFmt w:val="decimal"/>
      <w:pStyle w:val="ListeMaddemi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C406768"/>
    <w:multiLevelType w:val="multilevel"/>
    <w:tmpl w:val="88AA6042"/>
    <w:lvl w:ilvl="0">
      <w:start w:val="1"/>
      <w:numFmt w:val="bullet"/>
      <w:pStyle w:val="ListeMaddemi"/>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D93"/>
    <w:rsid w:val="0003589C"/>
    <w:rsid w:val="00185A0C"/>
    <w:rsid w:val="001B04FA"/>
    <w:rsid w:val="002852FA"/>
    <w:rsid w:val="004F057A"/>
    <w:rsid w:val="006749AA"/>
    <w:rsid w:val="007143D3"/>
    <w:rsid w:val="00B862D0"/>
    <w:rsid w:val="00F43D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D3A1607"/>
  <w15:docId w15:val="{893546BA-0CB2-9E4B-8A82-0E5A21F1A2E6}"/>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1"/>
        <w:szCs w:val="21"/>
        <w:lang w:val="en" w:eastAsia="tr-TR"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pPr>
      <w:keepNext/>
      <w:keepLines/>
      <w:spacing w:before="480" w:after="0"/>
      <w:outlineLvl w:val="0"/>
    </w:pPr>
    <w:rPr>
      <w:b/>
      <w:bCs/>
      <w:color w:val="17365D"/>
      <w:sz w:val="26"/>
      <w:szCs w:val="26"/>
    </w:rPr>
  </w:style>
  <w:style w:type="paragraph" w:styleId="Balk2">
    <w:name w:val="heading 2"/>
    <w:basedOn w:val="Normal"/>
    <w:next w:val="Normal"/>
    <w:link w:val="Balk2Char"/>
    <w:uiPriority w:val="9"/>
    <w:unhideWhenUsed/>
    <w:qFormat/>
    <w:pPr>
      <w:keepNext/>
      <w:keepLines/>
      <w:spacing w:before="200" w:after="0"/>
      <w:outlineLvl w:val="1"/>
    </w:pPr>
    <w:rPr>
      <w:b/>
      <w:bCs/>
      <w:color w:val="17365D"/>
      <w:sz w:val="23"/>
      <w:szCs w:val="23"/>
    </w:rPr>
  </w:style>
  <w:style w:type="paragraph" w:styleId="Balk3">
    <w:name w:val="heading 3"/>
    <w:basedOn w:val="Normal"/>
    <w:next w:val="Normal"/>
    <w:link w:val="Balk3Char"/>
    <w:uiPriority w:val="9"/>
    <w:semiHidden/>
    <w:unhideWhenUsed/>
    <w:qFormat/>
    <w:pPr>
      <w:keepNext/>
      <w:keepLines/>
      <w:spacing w:before="200" w:after="0"/>
      <w:outlineLvl w:val="2"/>
    </w:pPr>
    <w:rPr>
      <w:b/>
      <w:bCs/>
      <w:color w:val="17365D"/>
    </w:rPr>
  </w:style>
  <w:style w:type="paragraph" w:styleId="Balk4">
    <w:name w:val="heading 4"/>
    <w:basedOn w:val="Normal"/>
    <w:next w:val="Normal"/>
    <w:link w:val="Balk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Balk5">
    <w:name w:val="heading 5"/>
    <w:basedOn w:val="Normal"/>
    <w:next w:val="Normal"/>
    <w:link w:val="Balk5Char"/>
    <w:uiPriority w:val="9"/>
    <w:semiHidden/>
    <w:unhideWhenUsed/>
    <w:qFormat/>
    <w:pPr>
      <w:keepNext/>
      <w:keepLines/>
      <w:spacing w:before="200" w:after="0"/>
      <w:outlineLvl w:val="4"/>
    </w:pPr>
    <w:rPr>
      <w:rFonts w:ascii="Calibri" w:eastAsia="Calibri" w:hAnsi="Calibri" w:cs="Calibri"/>
      <w:color w:val="243F61"/>
    </w:rPr>
  </w:style>
  <w:style w:type="paragraph" w:styleId="Balk6">
    <w:name w:val="heading 6"/>
    <w:basedOn w:val="Normal"/>
    <w:next w:val="Normal"/>
    <w:link w:val="Balk6Char"/>
    <w:uiPriority w:val="9"/>
    <w:semiHidden/>
    <w:unhideWhenUsed/>
    <w:qFormat/>
    <w:pPr>
      <w:keepNext/>
      <w:keepLines/>
      <w:spacing w:before="200" w:after="0"/>
      <w:outlineLvl w:val="5"/>
    </w:pPr>
    <w:rPr>
      <w:rFonts w:ascii="Calibri" w:eastAsia="Calibri" w:hAnsi="Calibri" w:cs="Calibri"/>
      <w:i/>
      <w:iCs/>
      <w:color w:val="243F61"/>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link w:val="KonuBal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rPr>
      <w:sz w:val="20"/>
    </w:rPr>
  </w:style>
  <w:style w:type="paragraph" w:styleId="ListeMaddemi2">
    <w:name w:val="List Bullet 2"/>
    <w:basedOn w:val="Normal"/>
    <w:uiPriority w:val="99"/>
    <w:unhideWhenUsed/>
    <w:rsid w:val="00326F90"/>
    <w:pPr>
      <w:numPr>
        <w:numId w:val="2"/>
      </w:numPr>
      <w:contextualSpacing/>
    </w:pPr>
    <w:rPr>
      <w:sz w:val="20"/>
    </w:rPr>
  </w:style>
  <w:style w:type="paragraph" w:styleId="ListeMaddemi3">
    <w:name w:val="List Bullet 3"/>
    <w:basedOn w:val="Normal"/>
    <w:uiPriority w:val="99"/>
    <w:unhideWhenUsed/>
    <w:rsid w:val="00326F90"/>
    <w:pPr>
      <w:tabs>
        <w:tab w:val="num" w:pos="720"/>
      </w:tabs>
      <w:ind w:left="720" w:hanging="720"/>
      <w:contextualSpacing/>
    </w:pPr>
  </w:style>
  <w:style w:type="paragraph" w:styleId="ListeNumaras">
    <w:name w:val="List Number"/>
    <w:basedOn w:val="Normal"/>
    <w:uiPriority w:val="99"/>
    <w:unhideWhenUsed/>
    <w:rsid w:val="00326F90"/>
    <w:pPr>
      <w:tabs>
        <w:tab w:val="num" w:pos="720"/>
      </w:tabs>
      <w:ind w:left="720" w:hanging="720"/>
      <w:contextualSpacing/>
    </w:pPr>
  </w:style>
  <w:style w:type="paragraph" w:styleId="ListeNumaras2">
    <w:name w:val="List Number 2"/>
    <w:basedOn w:val="Normal"/>
    <w:uiPriority w:val="99"/>
    <w:unhideWhenUsed/>
    <w:rsid w:val="0029639D"/>
    <w:pPr>
      <w:tabs>
        <w:tab w:val="num" w:pos="720"/>
      </w:tabs>
      <w:ind w:left="720" w:hanging="720"/>
      <w:contextualSpacing/>
    </w:pPr>
  </w:style>
  <w:style w:type="paragraph" w:styleId="ListeNumaras3">
    <w:name w:val="List Number 3"/>
    <w:basedOn w:val="Normal"/>
    <w:uiPriority w:val="99"/>
    <w:unhideWhenUsed/>
    <w:rsid w:val="0029639D"/>
    <w:pPr>
      <w:tabs>
        <w:tab w:val="num" w:pos="720"/>
      </w:tabs>
      <w:ind w:left="720" w:hanging="720"/>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ltyaz">
    <w:name w:val="Subtitle"/>
    <w:basedOn w:val="Normal"/>
    <w:next w:val="Normal"/>
    <w:link w:val="AltyazChar"/>
    <w:uiPriority w:val="11"/>
    <w:qFormat/>
    <w:rPr>
      <w:rFonts w:ascii="Calibri" w:eastAsia="Calibri" w:hAnsi="Calibri" w:cs="Calibri"/>
      <w:i/>
      <w:iCs/>
      <w:color w:val="4F81BD"/>
      <w:sz w:val="24"/>
      <w:szCs w:val="24"/>
    </w:rPr>
  </w:style>
  <w:style w:type="table" w:customStyle="1" w:styleId="a">
    <w:basedOn w:val="NormalTablo"/>
    <w:tblPr>
      <w:tblStyleRowBandSize w:val="1"/>
      <w:tblStyleColBandSize w:val="1"/>
      <w:tblCellMar>
        <w:left w:w="115" w:type="dxa"/>
        <w:right w:w="115" w:type="dxa"/>
      </w:tblCellMar>
    </w:tblPr>
  </w:style>
  <w:style w:type="table" w:customStyle="1" w:styleId="a0">
    <w:basedOn w:val="NormalTablo"/>
    <w:tblPr>
      <w:tblStyleRowBandSize w:val="1"/>
      <w:tblStyleColBandSize w:val="1"/>
      <w:tblCellMar>
        <w:left w:w="115" w:type="dxa"/>
        <w:right w:w="115" w:type="dxa"/>
      </w:tblCellMar>
    </w:tblPr>
  </w:style>
  <w:style w:type="table" w:customStyle="1" w:styleId="a1">
    <w:basedOn w:val="NormalTablo"/>
    <w:tblPr>
      <w:tblStyleRowBandSize w:val="1"/>
      <w:tblStyleColBandSize w:val="1"/>
      <w:tblCellMar>
        <w:left w:w="115" w:type="dxa"/>
        <w:right w:w="115" w:type="dxa"/>
      </w:tblCellMar>
    </w:tblPr>
  </w:style>
  <w:style w:type="table" w:customStyle="1" w:styleId="a2">
    <w:basedOn w:val="NormalTablo"/>
    <w:tblPr>
      <w:tblStyleRowBandSize w:val="1"/>
      <w:tblStyleColBandSize w:val="1"/>
      <w:tblCellMar>
        <w:left w:w="115" w:type="dxa"/>
        <w:right w:w="115" w:type="dxa"/>
      </w:tblCellMar>
    </w:tblPr>
  </w:style>
  <w:style w:type="table" w:customStyle="1" w:styleId="a3">
    <w:basedOn w:val="NormalTablo"/>
    <w:tblPr>
      <w:tblStyleRowBandSize w:val="1"/>
      <w:tblStyleColBandSize w:val="1"/>
      <w:tblCellMar>
        <w:left w:w="115" w:type="dxa"/>
        <w:right w:w="115" w:type="dxa"/>
      </w:tblCellMar>
    </w:tblPr>
  </w:style>
  <w:style w:type="table" w:customStyle="1" w:styleId="a4">
    <w:basedOn w:val="NormalTablo"/>
    <w:tblPr>
      <w:tblStyleRowBandSize w:val="1"/>
      <w:tblStyleColBandSize w:val="1"/>
      <w:tblCellMar>
        <w:left w:w="115" w:type="dxa"/>
        <w:right w:w="115" w:type="dxa"/>
      </w:tblCellMar>
    </w:tblPr>
  </w:style>
  <w:style w:type="table" w:customStyle="1" w:styleId="a5">
    <w:basedOn w:val="NormalTablo"/>
    <w:tblPr>
      <w:tblStyleRowBandSize w:val="1"/>
      <w:tblStyleColBandSize w:val="1"/>
      <w:tblCellMar>
        <w:left w:w="115" w:type="dxa"/>
        <w:right w:w="115" w:type="dxa"/>
      </w:tblCellMar>
    </w:tblPr>
  </w:style>
  <w:style w:type="character" w:styleId="Kpr">
    <w:name w:val="Hyperlink"/>
    <w:basedOn w:val="VarsaylanParagrafYazTipi"/>
    <w:uiPriority w:val="99"/>
    <w:unhideWhenUsed/>
    <w:rsid w:val="002852FA"/>
    <w:rPr>
      <w:color w:val="0000FF" w:themeColor="hyperlink"/>
      <w:u w:val="single"/>
    </w:rPr>
  </w:style>
  <w:style w:type="character" w:styleId="zmlenmeyenBahsetme">
    <w:name w:val="Unresolved Mention"/>
    <w:basedOn w:val="VarsaylanParagrafYazTipi"/>
    <w:uiPriority w:val="99"/>
    <w:semiHidden/>
    <w:unhideWhenUsed/>
    <w:rsid w:val="00285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mt@mustafatopaloglu.av.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t@mustafatopaloglu.av.tr" TargetMode="External"/><Relationship Id="rId14" Type="http://schemas.openxmlformats.org/officeDocument/2006/relationships/hyperlink" Target="https://mtopaloglu.av.t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nkHdyTV1/NyTnx3+z7GRncz/1Q==">CgMxLjA4AHIhMUpCRGk2cGREVVh0ZW9KOU9aSkZqZk9mRTJCNlNITUct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1945</Words>
  <Characters>11088</Characters>
  <Application>Microsoft Office Word</Application>
  <DocSecurity>0</DocSecurity>
  <Lines>92</Lines>
  <Paragraphs>26</Paragraphs>
  <ScaleCrop>false</ScaleCrop>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Topaloğlu Avukatlık Bürosu</dc:creator>
  <cp:lastModifiedBy>Topaloğlu Avukatlık Bürosu</cp:lastModifiedBy>
  <cp:revision>7</cp:revision>
  <dcterms:created xsi:type="dcterms:W3CDTF">2026-08-11T17:58:00Z</dcterms:created>
  <dcterms:modified xsi:type="dcterms:W3CDTF">2026-08-11T18:02:00Z</dcterms:modified>
  <dc:title>Topaloğlu Avukatlık Bürosu Çerez Aydınlatma Metni</dc:title>
  <dc:subject>Çerezler aracılığıyla kişisel verilerin işlenmesi hakkında aydınlatma metni</dc:subject>
  <cp:keywords>KVKK, çerez, aydınlatma metni, internet sitesi</cp:keywords>
  <dc:description/>
</cp:coreProperties>
</file>